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57" w:rsidRPr="007B766D" w:rsidRDefault="00BF3F57" w:rsidP="00BF3F57">
      <w:pPr>
        <w:pStyle w:val="Standard"/>
        <w:spacing w:after="0" w:line="240" w:lineRule="auto"/>
        <w:jc w:val="right"/>
        <w:rPr>
          <w:rFonts w:ascii="Arial" w:eastAsia="Times New Roman" w:hAnsi="Arial" w:cs="Arial"/>
          <w:b/>
          <w:bCs/>
          <w:kern w:val="0"/>
          <w:sz w:val="20"/>
          <w:szCs w:val="20"/>
          <w:lang w:eastAsia="pt-BR"/>
        </w:rPr>
      </w:pPr>
      <w:r w:rsidRPr="007B766D">
        <w:rPr>
          <w:rFonts w:ascii="Arial" w:eastAsia="Times New Roman" w:hAnsi="Arial" w:cs="Arial"/>
          <w:b/>
          <w:bCs/>
          <w:kern w:val="0"/>
          <w:sz w:val="20"/>
          <w:szCs w:val="20"/>
          <w:lang w:eastAsia="pt-BR"/>
        </w:rPr>
        <w:t>DOI:</w:t>
      </w:r>
      <w:r w:rsidR="00E20ED8">
        <w:rPr>
          <w:rFonts w:ascii="Arial" w:eastAsia="Times New Roman" w:hAnsi="Arial" w:cs="Arial"/>
          <w:b/>
          <w:bCs/>
          <w:kern w:val="0"/>
          <w:sz w:val="20"/>
          <w:szCs w:val="20"/>
          <w:lang w:eastAsia="pt-BR"/>
        </w:rPr>
        <w:t xml:space="preserve"> </w:t>
      </w:r>
      <w:r w:rsidR="00E20ED8" w:rsidRPr="00E20ED8">
        <w:rPr>
          <w:rFonts w:ascii="Arial" w:eastAsia="Times New Roman" w:hAnsi="Arial" w:cs="Arial"/>
          <w:b/>
          <w:bCs/>
          <w:kern w:val="0"/>
          <w:sz w:val="20"/>
          <w:szCs w:val="20"/>
          <w:lang w:eastAsia="pt-BR"/>
        </w:rPr>
        <w:t>10.20396/conpuesp.2.2023.5020</w:t>
      </w:r>
    </w:p>
    <w:p w:rsidR="007B766D" w:rsidRDefault="007B766D" w:rsidP="00BF3F57">
      <w:pPr>
        <w:pStyle w:val="Standard"/>
        <w:spacing w:after="0" w:line="240" w:lineRule="auto"/>
        <w:jc w:val="right"/>
        <w:rPr>
          <w:rFonts w:ascii="Arial" w:eastAsia="Times New Roman" w:hAnsi="Arial" w:cs="Arial"/>
          <w:b/>
          <w:bCs/>
          <w:kern w:val="0"/>
          <w:sz w:val="24"/>
          <w:szCs w:val="24"/>
          <w:lang w:eastAsia="pt-BR"/>
        </w:rPr>
      </w:pPr>
    </w:p>
    <w:p w:rsidR="004F35D6" w:rsidRPr="000F58B5" w:rsidRDefault="004F35D6" w:rsidP="004F35D6">
      <w:pPr>
        <w:spacing w:after="0" w:line="240" w:lineRule="auto"/>
        <w:jc w:val="center"/>
        <w:rPr>
          <w:rFonts w:ascii="Arial" w:eastAsia="Times New Roman" w:hAnsi="Arial" w:cs="Arial"/>
          <w:b/>
          <w:bCs/>
          <w:sz w:val="24"/>
        </w:rPr>
      </w:pPr>
      <w:r w:rsidRPr="000E64A5">
        <w:rPr>
          <w:rFonts w:ascii="Arial" w:eastAsia="Times New Roman" w:hAnsi="Arial" w:cs="Arial"/>
          <w:b/>
          <w:bCs/>
          <w:sz w:val="24"/>
        </w:rPr>
        <w:t>GESTÃO DA MANUTENÇÃO EM GERADORES EMERGENCIAIS:</w:t>
      </w:r>
      <w:r w:rsidRPr="000F58B5">
        <w:rPr>
          <w:rFonts w:ascii="Arial" w:eastAsia="Times New Roman" w:hAnsi="Arial" w:cs="Arial"/>
          <w:b/>
          <w:bCs/>
          <w:sz w:val="24"/>
        </w:rPr>
        <w:t xml:space="preserve"> </w:t>
      </w:r>
      <w:r w:rsidRPr="000E64A5">
        <w:rPr>
          <w:rFonts w:ascii="Arial" w:eastAsia="Times New Roman" w:hAnsi="Arial" w:cs="Arial"/>
          <w:b/>
          <w:bCs/>
          <w:sz w:val="24"/>
        </w:rPr>
        <w:t xml:space="preserve">A INFLUÊNCIA DA </w:t>
      </w:r>
      <w:r>
        <w:rPr>
          <w:rFonts w:ascii="Arial" w:eastAsia="Times New Roman" w:hAnsi="Arial" w:cs="Arial"/>
          <w:b/>
          <w:bCs/>
          <w:sz w:val="24"/>
        </w:rPr>
        <w:t xml:space="preserve">REDUÇÃO </w:t>
      </w:r>
      <w:r w:rsidRPr="000E64A5">
        <w:rPr>
          <w:rFonts w:ascii="Arial" w:eastAsia="Times New Roman" w:hAnsi="Arial" w:cs="Arial"/>
          <w:b/>
          <w:bCs/>
          <w:sz w:val="24"/>
        </w:rPr>
        <w:t xml:space="preserve">DA QUALIDADE DO DIESEL COM </w:t>
      </w:r>
      <w:r>
        <w:rPr>
          <w:rFonts w:ascii="Arial" w:eastAsia="Times New Roman" w:hAnsi="Arial" w:cs="Arial"/>
          <w:b/>
          <w:bCs/>
          <w:sz w:val="24"/>
        </w:rPr>
        <w:t xml:space="preserve">A ADIÇÃO DE </w:t>
      </w:r>
      <w:r w:rsidRPr="000E64A5">
        <w:rPr>
          <w:rFonts w:ascii="Arial" w:eastAsia="Times New Roman" w:hAnsi="Arial" w:cs="Arial"/>
          <w:b/>
          <w:bCs/>
          <w:sz w:val="24"/>
        </w:rPr>
        <w:t>BIODIESEL</w:t>
      </w:r>
    </w:p>
    <w:p w:rsidR="007B766D" w:rsidRDefault="007B766D" w:rsidP="004F35D6">
      <w:pPr>
        <w:pStyle w:val="Standard"/>
        <w:spacing w:after="0" w:line="240" w:lineRule="auto"/>
        <w:rPr>
          <w:rFonts w:ascii="Arial" w:eastAsia="Times New Roman" w:hAnsi="Arial" w:cs="Arial"/>
          <w:bCs/>
          <w:kern w:val="0"/>
          <w:lang w:eastAsia="pt-BR"/>
        </w:rPr>
      </w:pPr>
    </w:p>
    <w:p w:rsidR="004F35D6" w:rsidRPr="004F35D6" w:rsidRDefault="00BF3F57" w:rsidP="00BF3F57">
      <w:pPr>
        <w:pStyle w:val="Standard"/>
        <w:spacing w:after="0" w:line="240" w:lineRule="auto"/>
        <w:jc w:val="center"/>
        <w:rPr>
          <w:rFonts w:ascii="Arial" w:hAnsi="Arial" w:cs="Arial"/>
          <w:shd w:val="clear" w:color="auto" w:fill="FFFFFF"/>
        </w:rPr>
      </w:pPr>
      <w:r w:rsidRPr="004F35D6">
        <w:rPr>
          <w:rFonts w:ascii="Arial" w:eastAsia="Times New Roman" w:hAnsi="Arial" w:cs="Arial"/>
          <w:bCs/>
          <w:kern w:val="0"/>
          <w:lang w:eastAsia="pt-BR"/>
        </w:rPr>
        <w:t>*</w:t>
      </w:r>
      <w:r w:rsidR="004F35D6" w:rsidRPr="004F35D6">
        <w:rPr>
          <w:rFonts w:ascii="Arial" w:hAnsi="Arial" w:cs="Arial"/>
          <w:shd w:val="clear" w:color="auto" w:fill="FFFFFF"/>
        </w:rPr>
        <w:t xml:space="preserve"> Marcio Labigalini, Geraldo Jurandir Vialta, Sidnei José dos Santos, Paulo César de Souza, Alexandre Muller Lorenzi, Adalício José Batista Pereira, Ubiratan Lopes, José Marcos Pereira, Luiz Carlos Luzin. </w:t>
      </w:r>
    </w:p>
    <w:p w:rsidR="00BF3F57" w:rsidRPr="004F35D6" w:rsidRDefault="004F35D6" w:rsidP="00BF3F57">
      <w:pPr>
        <w:pStyle w:val="Standard"/>
        <w:spacing w:after="0" w:line="240" w:lineRule="auto"/>
        <w:jc w:val="center"/>
        <w:rPr>
          <w:rFonts w:ascii="Arial" w:eastAsia="Times New Roman" w:hAnsi="Arial" w:cs="Arial"/>
          <w:bCs/>
          <w:kern w:val="0"/>
          <w:lang w:eastAsia="pt-BR"/>
        </w:rPr>
      </w:pPr>
      <w:r w:rsidRPr="004F35D6">
        <w:rPr>
          <w:rFonts w:ascii="Arial" w:eastAsia="Times New Roman" w:hAnsi="Arial" w:cs="Arial"/>
          <w:bCs/>
          <w:kern w:val="0"/>
          <w:lang w:eastAsia="pt-BR"/>
        </w:rPr>
        <w:t xml:space="preserve"> </w:t>
      </w:r>
    </w:p>
    <w:p w:rsidR="00BF3F57" w:rsidRDefault="00166B2A" w:rsidP="00BF3F57">
      <w:pPr>
        <w:pStyle w:val="Standard"/>
        <w:spacing w:after="0" w:line="240" w:lineRule="auto"/>
        <w:jc w:val="center"/>
        <w:rPr>
          <w:rFonts w:ascii="Arial" w:eastAsia="Times New Roman" w:hAnsi="Arial" w:cs="Arial"/>
          <w:b/>
          <w:bCs/>
          <w:kern w:val="0"/>
          <w:lang w:eastAsia="pt-BR"/>
        </w:rPr>
      </w:pPr>
      <w:r>
        <w:rPr>
          <w:rFonts w:ascii="Arial" w:eastAsia="Times New Roman" w:hAnsi="Arial" w:cs="Arial"/>
          <w:b/>
          <w:bCs/>
          <w:kern w:val="0"/>
          <w:lang w:eastAsia="pt-BR"/>
        </w:rPr>
        <w:t>Universidade</w:t>
      </w:r>
      <w:r w:rsidR="004F35D6">
        <w:rPr>
          <w:rFonts w:ascii="Arial" w:eastAsia="Times New Roman" w:hAnsi="Arial" w:cs="Arial"/>
          <w:b/>
          <w:bCs/>
          <w:kern w:val="0"/>
          <w:lang w:eastAsia="pt-BR"/>
        </w:rPr>
        <w:t xml:space="preserve"> Estadual de Campinas </w:t>
      </w:r>
    </w:p>
    <w:p w:rsidR="00166B2A" w:rsidRDefault="00166B2A" w:rsidP="00166B2A">
      <w:pPr>
        <w:pStyle w:val="Standard"/>
        <w:spacing w:after="0" w:line="240" w:lineRule="auto"/>
        <w:jc w:val="center"/>
        <w:rPr>
          <w:rFonts w:ascii="Arial" w:hAnsi="Arial" w:cs="Arial"/>
          <w:b/>
          <w:shd w:val="clear" w:color="auto" w:fill="FFFFFF"/>
        </w:rPr>
      </w:pPr>
      <w:r>
        <w:rPr>
          <w:rFonts w:ascii="Arial" w:eastAsia="Times New Roman" w:hAnsi="Arial" w:cs="Arial"/>
          <w:b/>
          <w:bCs/>
          <w:kern w:val="0"/>
          <w:lang w:eastAsia="pt-BR"/>
        </w:rPr>
        <w:t>*E-mail:</w:t>
      </w:r>
      <w:r w:rsidR="004F35D6">
        <w:rPr>
          <w:rFonts w:ascii="Arial" w:eastAsia="Times New Roman" w:hAnsi="Arial" w:cs="Arial"/>
          <w:b/>
          <w:bCs/>
          <w:kern w:val="0"/>
          <w:lang w:eastAsia="pt-BR"/>
        </w:rPr>
        <w:t xml:space="preserve"> </w:t>
      </w:r>
      <w:hyperlink r:id="rId9" w:history="1">
        <w:r w:rsidR="004F35D6" w:rsidRPr="007D444E">
          <w:rPr>
            <w:rStyle w:val="Hyperlink"/>
            <w:rFonts w:ascii="Arial" w:hAnsi="Arial" w:cs="Arial"/>
            <w:b/>
            <w:shd w:val="clear" w:color="auto" w:fill="FFFFFF"/>
          </w:rPr>
          <w:t>labig@unicamp.br</w:t>
        </w:r>
      </w:hyperlink>
      <w:r w:rsidR="004F35D6">
        <w:rPr>
          <w:rFonts w:ascii="Arial" w:hAnsi="Arial" w:cs="Arial"/>
          <w:b/>
          <w:shd w:val="clear" w:color="auto" w:fill="FFFFFF"/>
        </w:rPr>
        <w:t xml:space="preserve"> </w:t>
      </w:r>
    </w:p>
    <w:p w:rsidR="004F35D6" w:rsidRPr="004F35D6" w:rsidRDefault="004F35D6" w:rsidP="00166B2A">
      <w:pPr>
        <w:pStyle w:val="Standard"/>
        <w:spacing w:after="0" w:line="240" w:lineRule="auto"/>
        <w:jc w:val="center"/>
        <w:rPr>
          <w:rFonts w:ascii="Arial" w:eastAsia="Times New Roman" w:hAnsi="Arial" w:cs="Arial"/>
          <w:b/>
          <w:bCs/>
          <w:kern w:val="0"/>
          <w:lang w:eastAsia="pt-BR"/>
        </w:rPr>
      </w:pPr>
    </w:p>
    <w:p w:rsidR="004F35D6" w:rsidRDefault="004F35D6" w:rsidP="00EB07FB">
      <w:pPr>
        <w:spacing w:after="0" w:line="240" w:lineRule="auto"/>
        <w:jc w:val="both"/>
        <w:rPr>
          <w:rFonts w:ascii="Arial" w:eastAsia="Times New Roman" w:hAnsi="Arial" w:cs="Arial"/>
        </w:rPr>
      </w:pPr>
      <w:r w:rsidRPr="00EB07FB">
        <w:rPr>
          <w:rFonts w:ascii="Arial" w:eastAsia="Times New Roman" w:hAnsi="Arial" w:cs="Arial"/>
          <w:b/>
          <w:bCs/>
        </w:rPr>
        <w:t>Introdução</w:t>
      </w:r>
    </w:p>
    <w:p w:rsidR="00EB07FB" w:rsidRPr="00EB07FB" w:rsidRDefault="00EB07FB" w:rsidP="00EB07FB">
      <w:pPr>
        <w:spacing w:after="0" w:line="240" w:lineRule="auto"/>
        <w:jc w:val="both"/>
        <w:rPr>
          <w:rFonts w:ascii="Arial" w:eastAsia="Times New Roman" w:hAnsi="Arial" w:cs="Arial"/>
          <w:sz w:val="16"/>
        </w:rPr>
      </w:pP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No caso de uma Universidade, os Geradores de Energia Emergenciais (GEEs) normalmente são utilizados em áreas estratégicas: Segurança, Pesquisas e Saúde.</w:t>
      </w:r>
    </w:p>
    <w:p w:rsidR="004F35D6" w:rsidRPr="00EB07FB" w:rsidRDefault="004F35D6" w:rsidP="00EB07FB">
      <w:pPr>
        <w:spacing w:after="0" w:line="240" w:lineRule="auto"/>
        <w:jc w:val="both"/>
        <w:rPr>
          <w:rFonts w:ascii="Arial" w:eastAsia="Times New Roman" w:hAnsi="Arial" w:cs="Arial"/>
        </w:rPr>
      </w:pPr>
      <w:r w:rsidRPr="00EB07FB">
        <w:rPr>
          <w:rFonts w:ascii="Arial" w:eastAsia="Times New Roman" w:hAnsi="Arial" w:cs="Arial"/>
        </w:rPr>
        <w:t>A principal forma utilizada para o fornecimento de energia elétrica emergencial é por meio de geradores de energia à combustão (por óleo diesel).</w:t>
      </w:r>
    </w:p>
    <w:p w:rsidR="004F35D6" w:rsidRPr="00EB07FB" w:rsidRDefault="00EB07FB" w:rsidP="00E20ED8">
      <w:pPr>
        <w:spacing w:after="0" w:line="240" w:lineRule="auto"/>
        <w:ind w:firstLine="720"/>
        <w:jc w:val="both"/>
        <w:rPr>
          <w:rFonts w:ascii="Arial" w:eastAsia="Times New Roman" w:hAnsi="Arial" w:cs="Arial"/>
        </w:rPr>
      </w:pPr>
      <w:r w:rsidRPr="00EB07FB">
        <w:rPr>
          <w:rFonts w:ascii="Arial" w:eastAsia="Arial" w:hAnsi="Arial" w:cs="Arial"/>
          <w:b/>
          <w:noProof/>
        </w:rPr>
        <mc:AlternateContent>
          <mc:Choice Requires="wps">
            <w:drawing>
              <wp:anchor distT="45720" distB="45720" distL="114300" distR="114300" simplePos="0" relativeHeight="251661312" behindDoc="0" locked="0" layoutInCell="1" allowOverlap="1" wp14:anchorId="5AD460BA" wp14:editId="208FB56F">
                <wp:simplePos x="0" y="0"/>
                <wp:positionH relativeFrom="leftMargin">
                  <wp:posOffset>-1290955</wp:posOffset>
                </wp:positionH>
                <wp:positionV relativeFrom="paragraph">
                  <wp:posOffset>784225</wp:posOffset>
                </wp:positionV>
                <wp:extent cx="3626485" cy="305435"/>
                <wp:effectExtent l="3175" t="0" r="0" b="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26485" cy="305435"/>
                        </a:xfrm>
                        <a:prstGeom prst="rect">
                          <a:avLst/>
                        </a:prstGeom>
                        <a:solidFill>
                          <a:srgbClr val="FFFFFF"/>
                        </a:solidFill>
                        <a:ln w="9525">
                          <a:noFill/>
                          <a:miter lim="800000"/>
                          <a:headEnd/>
                          <a:tailEnd/>
                        </a:ln>
                      </wps:spPr>
                      <wps:txbx>
                        <w:txbxContent>
                          <w:p w:rsidR="004F35D6" w:rsidRPr="004F35D6" w:rsidRDefault="004F35D6" w:rsidP="004F35D6">
                            <w:pPr>
                              <w:shd w:val="clear" w:color="auto" w:fill="D9D9D9" w:themeFill="background1" w:themeFillShade="D9"/>
                              <w:jc w:val="center"/>
                              <w:rPr>
                                <w:rFonts w:ascii="Arial" w:hAnsi="Arial" w:cs="Arial"/>
                                <w:b/>
                              </w:rPr>
                            </w:pPr>
                            <w:r w:rsidRPr="004F35D6">
                              <w:rPr>
                                <w:rFonts w:ascii="Arial" w:hAnsi="Arial" w:cs="Arial"/>
                                <w:b/>
                              </w:rPr>
                              <w:t>Eixo 1 - Administração, Gestão e Liderança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AD460BA" id="_x0000_t202" coordsize="21600,21600" o:spt="202" path="m,l,21600r21600,l21600,xe">
                <v:stroke joinstyle="miter"/>
                <v:path gradientshapeok="t" o:connecttype="rect"/>
              </v:shapetype>
              <v:shape id="Caixa de Texto 2" o:spid="_x0000_s1026" type="#_x0000_t202" style="position:absolute;left:0;text-align:left;margin-left:-101.65pt;margin-top:61.75pt;width:285.55pt;height:24.05pt;rotation:-90;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" stroked="f">
                <v:textbox>
                  <w:txbxContent>
                    <w:p w:rsidR="004F35D6" w:rsidRPr="004F35D6" w:rsidRDefault="004F35D6" w:rsidP="004F35D6">
                      <w:pPr>
                        <w:shd w:val="clear" w:color="auto" w:fill="D9D9D9" w:themeFill="background1" w:themeFillShade="D9"/>
                        <w:jc w:val="center"/>
                        <w:rPr>
                          <w:rFonts w:ascii="Arial" w:hAnsi="Arial" w:cs="Arial"/>
                          <w:b/>
                        </w:rPr>
                      </w:pPr>
                      <w:r w:rsidRPr="004F35D6">
                        <w:rPr>
                          <w:rFonts w:ascii="Arial" w:hAnsi="Arial" w:cs="Arial"/>
                          <w:b/>
                        </w:rPr>
                        <w:t>Eixo 1 - Administração, Gestão e Liderança</w:t>
                      </w:r>
                    </w:p>
                  </w:txbxContent>
                </v:textbox>
                <w10:wrap type="square" anchorx="margin"/>
              </v:shape>
            </w:pict>
          </mc:Fallback>
        </mc:AlternateContent>
      </w:r>
      <w:r w:rsidR="004F35D6" w:rsidRPr="00EB07FB">
        <w:rPr>
          <w:rFonts w:ascii="Arial" w:eastAsia="Times New Roman" w:hAnsi="Arial" w:cs="Arial"/>
        </w:rPr>
        <w:t>Atualmente, o diesel fornecido pelos postos de combustíveis já vem com adição obrigatória de biodiesel (12% em 2023). O biodiesel adicionado tem gerado sensível redução na qualidade do diesel disponível nos postos de combustíveis, o que resulta em falhas de funcionamento de motores. Porém, no caso de geradores emergenciais não podem ocorrer falhas, uma vez que, se forem acionados, devem assumir as cargas existentes, pois trata-se de situações emergenciais, onde a necessidade de energia deve ser contínua.</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Os motores de GEEs podem ser comparados aos motores de caminhões. A diferença é que os motores de GEEs são motores estacionários. O diesel em tanques de combustíveis estacionários é o maior contribuidor para a sua degradação rápida, pois facilita a proliferação de bactérias e a formação de borras, que danificam ou prejudicam o funcionamento dos sistemas de injeção de combustíveis, o que resulta em falhas nos motores e impossibilitam que os geradores assumam a carga quando acionados em emergência (PETROBRAS, 2021).</w:t>
      </w:r>
    </w:p>
    <w:p w:rsidR="004F35D6" w:rsidRPr="00EB07FB" w:rsidRDefault="004F35D6" w:rsidP="00EB07FB">
      <w:pPr>
        <w:spacing w:after="0" w:line="240" w:lineRule="auto"/>
        <w:jc w:val="both"/>
        <w:rPr>
          <w:rFonts w:ascii="Arial" w:eastAsia="Times New Roman" w:hAnsi="Arial" w:cs="Arial"/>
        </w:rPr>
      </w:pPr>
    </w:p>
    <w:p w:rsidR="004F35D6" w:rsidRDefault="004F35D6" w:rsidP="00EB07FB">
      <w:pPr>
        <w:spacing w:after="0" w:line="240" w:lineRule="auto"/>
        <w:jc w:val="both"/>
        <w:rPr>
          <w:rFonts w:ascii="Arial" w:eastAsia="Times New Roman" w:hAnsi="Arial" w:cs="Arial"/>
        </w:rPr>
      </w:pPr>
      <w:r w:rsidRPr="00EB07FB">
        <w:rPr>
          <w:rFonts w:ascii="Arial" w:eastAsia="Times New Roman" w:hAnsi="Arial" w:cs="Arial"/>
          <w:b/>
          <w:bCs/>
        </w:rPr>
        <w:t>Objetivo</w:t>
      </w:r>
    </w:p>
    <w:p w:rsidR="00EB07FB" w:rsidRPr="00EB07FB" w:rsidRDefault="00EB07FB" w:rsidP="00EB07FB">
      <w:pPr>
        <w:spacing w:after="0" w:line="240" w:lineRule="auto"/>
        <w:jc w:val="both"/>
        <w:rPr>
          <w:rFonts w:ascii="Arial" w:eastAsia="Times New Roman" w:hAnsi="Arial" w:cs="Arial"/>
          <w:sz w:val="16"/>
        </w:rPr>
      </w:pP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Este trabalho busca demonstrar a forte influência da qualidade do diesel no adequado funcionamento de GEEs, encontrar as melhores soluções para manter o fornecimento de energia de maneira contínua e sustentável e destacar os cuidados necessários nas tarefas de manutenção dos equipamentos, visando à mitigação de problemas.</w:t>
      </w:r>
    </w:p>
    <w:p w:rsidR="004F35D6" w:rsidRPr="00EB07FB" w:rsidRDefault="004F35D6" w:rsidP="00EB07FB">
      <w:pPr>
        <w:spacing w:after="0" w:line="240" w:lineRule="auto"/>
        <w:jc w:val="both"/>
        <w:rPr>
          <w:rFonts w:ascii="Arial" w:eastAsia="Times New Roman" w:hAnsi="Arial" w:cs="Arial"/>
          <w:bCs/>
        </w:rPr>
      </w:pPr>
    </w:p>
    <w:p w:rsidR="004F35D6" w:rsidRDefault="004F35D6" w:rsidP="00EB07FB">
      <w:pPr>
        <w:spacing w:after="0" w:line="240" w:lineRule="auto"/>
        <w:jc w:val="both"/>
        <w:rPr>
          <w:rFonts w:ascii="Arial" w:eastAsia="Times New Roman" w:hAnsi="Arial" w:cs="Arial"/>
        </w:rPr>
      </w:pPr>
      <w:r w:rsidRPr="00EB07FB">
        <w:rPr>
          <w:rFonts w:ascii="Arial" w:eastAsia="Times New Roman" w:hAnsi="Arial" w:cs="Arial"/>
          <w:b/>
          <w:bCs/>
        </w:rPr>
        <w:t>Metodologia</w:t>
      </w:r>
    </w:p>
    <w:p w:rsidR="00EB07FB" w:rsidRPr="00EB07FB" w:rsidRDefault="00EB07FB" w:rsidP="00EB07FB">
      <w:pPr>
        <w:spacing w:after="0" w:line="240" w:lineRule="auto"/>
        <w:jc w:val="both"/>
        <w:rPr>
          <w:rFonts w:ascii="Arial" w:eastAsia="Times New Roman" w:hAnsi="Arial" w:cs="Arial"/>
          <w:sz w:val="16"/>
        </w:rPr>
      </w:pP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Foi feito um levantamento histórico das manutenções de GEEs, pois os dados da entrada de cada equipamento e suas respectivas manutenções (preventivas e corretivas) foram preservados digitalmente por um sistema próprio de gestão de manutenção por um período maior que 20 anos.</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Assim, fez-se uma tabela resumida das intervenções e, de posse dela, foram gerados gráficos para cada item de interesse. A seguir, cada item foi transformado em porcentagem (do seu valor máximo) e colocado num mesmo gráfico.</w:t>
      </w:r>
    </w:p>
    <w:p w:rsidR="004F35D6" w:rsidRPr="00EB07FB" w:rsidRDefault="004F35D6" w:rsidP="00EB07FB">
      <w:pPr>
        <w:spacing w:after="0" w:line="240" w:lineRule="auto"/>
        <w:jc w:val="both"/>
        <w:rPr>
          <w:rFonts w:ascii="Arial" w:eastAsia="Times New Roman" w:hAnsi="Arial" w:cs="Arial"/>
        </w:rPr>
      </w:pPr>
    </w:p>
    <w:p w:rsidR="004F35D6" w:rsidRPr="00EB07FB" w:rsidRDefault="004F35D6" w:rsidP="00EB07FB">
      <w:pPr>
        <w:spacing w:line="240" w:lineRule="auto"/>
        <w:rPr>
          <w:rFonts w:ascii="Arial" w:eastAsia="Times New Roman" w:hAnsi="Arial" w:cs="Arial"/>
        </w:rPr>
      </w:pPr>
    </w:p>
    <w:p w:rsidR="004F35D6" w:rsidRPr="00EB07FB" w:rsidRDefault="004F35D6" w:rsidP="00EB07FB">
      <w:pPr>
        <w:spacing w:after="0" w:line="240" w:lineRule="auto"/>
        <w:jc w:val="center"/>
        <w:rPr>
          <w:rFonts w:ascii="Arial" w:eastAsia="Times New Roman" w:hAnsi="Arial" w:cs="Arial"/>
        </w:rPr>
      </w:pPr>
      <w:r w:rsidRPr="00EB07FB">
        <w:rPr>
          <w:rFonts w:ascii="Arial" w:eastAsia="Times New Roman" w:hAnsi="Arial" w:cs="Arial"/>
        </w:rPr>
        <w:t>Figura 1:</w:t>
      </w:r>
    </w:p>
    <w:p w:rsidR="004F35D6" w:rsidRPr="00EB07FB" w:rsidRDefault="004F35D6" w:rsidP="00EB07FB">
      <w:pPr>
        <w:spacing w:after="0" w:line="240" w:lineRule="auto"/>
        <w:jc w:val="center"/>
        <w:rPr>
          <w:rFonts w:ascii="Arial" w:eastAsia="Times New Roman" w:hAnsi="Arial" w:cs="Arial"/>
        </w:rPr>
      </w:pPr>
      <w:r w:rsidRPr="00EB07FB">
        <w:rPr>
          <w:rFonts w:ascii="Arial" w:eastAsia="Times New Roman" w:hAnsi="Arial" w:cs="Arial"/>
          <w:noProof/>
        </w:rPr>
        <w:drawing>
          <wp:inline distT="0" distB="0" distL="0" distR="0" wp14:anchorId="08E16956" wp14:editId="4A92AC22">
            <wp:extent cx="5398770" cy="3061335"/>
            <wp:effectExtent l="0" t="0" r="0" b="5715"/>
            <wp:docPr id="23503636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770" cy="3061335"/>
                    </a:xfrm>
                    <a:prstGeom prst="rect">
                      <a:avLst/>
                    </a:prstGeom>
                    <a:noFill/>
                    <a:ln>
                      <a:noFill/>
                    </a:ln>
                  </pic:spPr>
                </pic:pic>
              </a:graphicData>
            </a:graphic>
          </wp:inline>
        </w:drawing>
      </w:r>
    </w:p>
    <w:p w:rsidR="004F35D6" w:rsidRPr="00EB07FB" w:rsidRDefault="004F35D6" w:rsidP="00EB07FB">
      <w:pPr>
        <w:spacing w:after="0" w:line="240" w:lineRule="auto"/>
        <w:jc w:val="center"/>
        <w:rPr>
          <w:rFonts w:ascii="Arial" w:eastAsia="Times New Roman" w:hAnsi="Arial" w:cs="Arial"/>
          <w:bCs/>
        </w:rPr>
      </w:pPr>
      <w:r w:rsidRPr="00EB07FB">
        <w:rPr>
          <w:rFonts w:ascii="Arial" w:eastAsia="Times New Roman" w:hAnsi="Arial" w:cs="Arial"/>
          <w:bCs/>
        </w:rPr>
        <w:t>Fonte: elaboração própria.</w:t>
      </w:r>
    </w:p>
    <w:p w:rsidR="004F35D6" w:rsidRPr="00EB07FB" w:rsidRDefault="004F35D6" w:rsidP="00EB07FB">
      <w:pPr>
        <w:spacing w:after="0" w:line="240" w:lineRule="auto"/>
        <w:jc w:val="both"/>
        <w:rPr>
          <w:rFonts w:ascii="Arial" w:eastAsia="Times New Roman" w:hAnsi="Arial" w:cs="Arial"/>
        </w:rPr>
      </w:pPr>
    </w:p>
    <w:p w:rsidR="004F35D6" w:rsidRPr="00EB07FB" w:rsidRDefault="004F35D6" w:rsidP="00EB07FB">
      <w:pPr>
        <w:spacing w:after="0" w:line="240" w:lineRule="auto"/>
        <w:jc w:val="both"/>
        <w:rPr>
          <w:rFonts w:ascii="Arial" w:eastAsia="Times New Roman" w:hAnsi="Arial" w:cs="Arial"/>
        </w:rPr>
      </w:pPr>
      <w:bookmarkStart w:id="0" w:name="_Hlk148783430"/>
      <w:r w:rsidRPr="00EB07FB">
        <w:rPr>
          <w:rFonts w:ascii="Arial" w:eastAsia="Times New Roman" w:hAnsi="Arial" w:cs="Arial"/>
        </w:rPr>
        <w:t>Outro levantamento (externo) feito foi sobre a adição de biodiesel, desde a sua implementação.</w:t>
      </w:r>
      <w:bookmarkEnd w:id="0"/>
    </w:p>
    <w:p w:rsidR="004F35D6" w:rsidRPr="00EB07FB" w:rsidRDefault="004F35D6" w:rsidP="00EB07FB">
      <w:pPr>
        <w:spacing w:after="0" w:line="240" w:lineRule="auto"/>
        <w:jc w:val="center"/>
        <w:rPr>
          <w:rFonts w:ascii="Arial" w:eastAsia="Times New Roman" w:hAnsi="Arial" w:cs="Arial"/>
          <w:bCs/>
        </w:rPr>
      </w:pPr>
    </w:p>
    <w:p w:rsidR="004F35D6" w:rsidRPr="00EB07FB" w:rsidRDefault="004F35D6" w:rsidP="00EB07FB">
      <w:pPr>
        <w:spacing w:after="0" w:line="240" w:lineRule="auto"/>
        <w:jc w:val="center"/>
        <w:rPr>
          <w:rFonts w:ascii="Arial" w:eastAsia="Times New Roman" w:hAnsi="Arial" w:cs="Arial"/>
        </w:rPr>
      </w:pPr>
      <w:r w:rsidRPr="00EB07FB">
        <w:rPr>
          <w:rFonts w:ascii="Arial" w:eastAsia="Times New Roman" w:hAnsi="Arial" w:cs="Arial"/>
        </w:rPr>
        <w:t>Figura 2:</w:t>
      </w:r>
    </w:p>
    <w:p w:rsidR="004F35D6" w:rsidRPr="00EB07FB" w:rsidRDefault="004F35D6" w:rsidP="00EB07FB">
      <w:pPr>
        <w:spacing w:after="0" w:line="240" w:lineRule="auto"/>
        <w:jc w:val="center"/>
        <w:rPr>
          <w:rFonts w:ascii="Arial" w:eastAsia="Times New Roman" w:hAnsi="Arial" w:cs="Arial"/>
          <w:bCs/>
        </w:rPr>
      </w:pPr>
      <w:r w:rsidRPr="00EB07FB">
        <w:rPr>
          <w:rFonts w:ascii="Arial" w:eastAsia="Times New Roman" w:hAnsi="Arial" w:cs="Arial"/>
          <w:noProof/>
        </w:rPr>
        <w:drawing>
          <wp:inline distT="0" distB="0" distL="0" distR="0" wp14:anchorId="77E26E6A" wp14:editId="44B2BF16">
            <wp:extent cx="5398770" cy="3387090"/>
            <wp:effectExtent l="0" t="0" r="0" b="3810"/>
            <wp:docPr id="14403464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770" cy="3387090"/>
                    </a:xfrm>
                    <a:prstGeom prst="rect">
                      <a:avLst/>
                    </a:prstGeom>
                    <a:noFill/>
                    <a:ln>
                      <a:noFill/>
                    </a:ln>
                  </pic:spPr>
                </pic:pic>
              </a:graphicData>
            </a:graphic>
          </wp:inline>
        </w:drawing>
      </w:r>
      <w:r w:rsidRPr="00EB07FB">
        <w:rPr>
          <w:rFonts w:ascii="Arial" w:eastAsia="Times New Roman" w:hAnsi="Arial" w:cs="Arial"/>
          <w:bCs/>
        </w:rPr>
        <w:t>Fonte dos dados: sites governamentais.</w:t>
      </w:r>
    </w:p>
    <w:p w:rsidR="004F35D6" w:rsidRPr="00EB07FB" w:rsidRDefault="004F35D6" w:rsidP="00EB07FB">
      <w:pPr>
        <w:spacing w:after="0" w:line="240" w:lineRule="auto"/>
        <w:jc w:val="both"/>
        <w:rPr>
          <w:rFonts w:ascii="Arial" w:eastAsia="Times New Roman" w:hAnsi="Arial" w:cs="Arial"/>
          <w:bCs/>
        </w:rPr>
      </w:pPr>
    </w:p>
    <w:p w:rsidR="004F35D6" w:rsidRPr="00EB07FB" w:rsidRDefault="004F35D6" w:rsidP="00EB07FB">
      <w:pPr>
        <w:spacing w:after="0" w:line="240" w:lineRule="auto"/>
        <w:jc w:val="both"/>
        <w:rPr>
          <w:rFonts w:ascii="Arial" w:eastAsia="Times New Roman" w:hAnsi="Arial" w:cs="Arial"/>
          <w:bCs/>
        </w:rPr>
      </w:pPr>
      <w:r w:rsidRPr="00EB07FB">
        <w:rPr>
          <w:rFonts w:ascii="Arial" w:eastAsia="Times New Roman" w:hAnsi="Arial" w:cs="Arial"/>
          <w:bCs/>
        </w:rPr>
        <w:lastRenderedPageBreak/>
        <w:t>Após isso, foi feito um levantamento de custos das manutenções com o passar dos anos.</w:t>
      </w:r>
    </w:p>
    <w:p w:rsidR="004F35D6" w:rsidRPr="00EB07FB" w:rsidRDefault="004F35D6" w:rsidP="00EB07FB">
      <w:pPr>
        <w:spacing w:after="0" w:line="240" w:lineRule="auto"/>
        <w:jc w:val="both"/>
        <w:rPr>
          <w:rFonts w:ascii="Arial" w:eastAsia="Times New Roman" w:hAnsi="Arial" w:cs="Arial"/>
          <w:bCs/>
        </w:rPr>
      </w:pPr>
    </w:p>
    <w:p w:rsidR="004F35D6" w:rsidRPr="00EB07FB" w:rsidRDefault="004F35D6" w:rsidP="00EB07FB">
      <w:pPr>
        <w:spacing w:after="0" w:line="240" w:lineRule="auto"/>
        <w:jc w:val="center"/>
        <w:rPr>
          <w:rFonts w:ascii="Arial" w:eastAsia="Times New Roman" w:hAnsi="Arial" w:cs="Arial"/>
        </w:rPr>
      </w:pPr>
      <w:r w:rsidRPr="00EB07FB">
        <w:rPr>
          <w:rFonts w:ascii="Arial" w:eastAsia="Times New Roman" w:hAnsi="Arial" w:cs="Arial"/>
        </w:rPr>
        <w:t>Figura 3:</w:t>
      </w:r>
    </w:p>
    <w:p w:rsidR="004F35D6" w:rsidRPr="00EB07FB" w:rsidRDefault="004F35D6" w:rsidP="00EB07FB">
      <w:pPr>
        <w:spacing w:after="0" w:line="240" w:lineRule="auto"/>
        <w:jc w:val="both"/>
        <w:rPr>
          <w:rFonts w:ascii="Arial" w:eastAsia="Times New Roman" w:hAnsi="Arial" w:cs="Arial"/>
        </w:rPr>
      </w:pPr>
      <w:r w:rsidRPr="00EB07FB">
        <w:rPr>
          <w:rFonts w:ascii="Arial" w:hAnsi="Arial" w:cs="Arial"/>
          <w:noProof/>
        </w:rPr>
        <w:drawing>
          <wp:inline distT="0" distB="0" distL="0" distR="0" wp14:anchorId="24A7078A" wp14:editId="36D8EE19">
            <wp:extent cx="5400040" cy="2528515"/>
            <wp:effectExtent l="0" t="0" r="10160" b="5715"/>
            <wp:docPr id="1585872944" name="Gráfico 1">
              <a:extLst xmlns:a="http://schemas.openxmlformats.org/drawingml/2006/main">
                <a:ext uri="{FF2B5EF4-FFF2-40B4-BE49-F238E27FC236}">
                  <a16:creationId xmlns:a16="http://schemas.microsoft.com/office/drawing/2014/main" id="{707E1287-1849-3159-807E-4285831ACE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35D6" w:rsidRPr="00EB07FB" w:rsidRDefault="004F35D6" w:rsidP="00EB07FB">
      <w:pPr>
        <w:spacing w:after="0" w:line="240" w:lineRule="auto"/>
        <w:jc w:val="center"/>
        <w:rPr>
          <w:rFonts w:ascii="Arial" w:eastAsia="Times New Roman" w:hAnsi="Arial" w:cs="Arial"/>
          <w:bCs/>
        </w:rPr>
      </w:pPr>
      <w:r w:rsidRPr="00EB07FB">
        <w:rPr>
          <w:rFonts w:ascii="Arial" w:eastAsia="Times New Roman" w:hAnsi="Arial" w:cs="Arial"/>
          <w:bCs/>
        </w:rPr>
        <w:t>Fonte: elaboração própria.</w:t>
      </w:r>
    </w:p>
    <w:p w:rsidR="004F35D6" w:rsidRPr="00EB07FB" w:rsidRDefault="004F35D6" w:rsidP="00EB07FB">
      <w:pPr>
        <w:spacing w:after="0" w:line="240" w:lineRule="auto"/>
        <w:jc w:val="center"/>
        <w:rPr>
          <w:rFonts w:ascii="Arial" w:eastAsia="Times New Roman" w:hAnsi="Arial" w:cs="Arial"/>
          <w:bCs/>
        </w:rPr>
      </w:pPr>
    </w:p>
    <w:p w:rsidR="004F35D6" w:rsidRPr="00EB07FB" w:rsidRDefault="004F35D6" w:rsidP="00EB07FB">
      <w:pPr>
        <w:spacing w:after="0" w:line="240" w:lineRule="auto"/>
        <w:jc w:val="both"/>
        <w:rPr>
          <w:rFonts w:ascii="Arial" w:eastAsia="Times New Roman" w:hAnsi="Arial" w:cs="Arial"/>
          <w:bCs/>
        </w:rPr>
      </w:pPr>
      <w:r w:rsidRPr="00EB07FB">
        <w:rPr>
          <w:rFonts w:ascii="Arial" w:eastAsia="Times New Roman" w:hAnsi="Arial" w:cs="Arial"/>
          <w:bCs/>
        </w:rPr>
        <w:t>Finalmente, foi feito um gráfico comparativo do percentual de biodiesel no diesel, desde a sua implementação, comparando-se com as MCs e o crescimento do número de GEEs.</w:t>
      </w:r>
    </w:p>
    <w:p w:rsidR="004F35D6" w:rsidRPr="00EB07FB" w:rsidRDefault="004F35D6" w:rsidP="00EB07FB">
      <w:pPr>
        <w:spacing w:after="0" w:line="240" w:lineRule="auto"/>
        <w:jc w:val="center"/>
        <w:rPr>
          <w:rFonts w:ascii="Arial" w:eastAsia="Times New Roman" w:hAnsi="Arial" w:cs="Arial"/>
          <w:bCs/>
        </w:rPr>
      </w:pPr>
    </w:p>
    <w:p w:rsidR="004F35D6" w:rsidRPr="00EB07FB" w:rsidRDefault="004F35D6" w:rsidP="00EB07FB">
      <w:pPr>
        <w:spacing w:after="0" w:line="240" w:lineRule="auto"/>
        <w:jc w:val="center"/>
        <w:rPr>
          <w:rFonts w:ascii="Arial" w:eastAsia="Times New Roman" w:hAnsi="Arial" w:cs="Arial"/>
        </w:rPr>
      </w:pPr>
      <w:r w:rsidRPr="00EB07FB">
        <w:rPr>
          <w:rFonts w:ascii="Arial" w:eastAsia="Times New Roman" w:hAnsi="Arial" w:cs="Arial"/>
        </w:rPr>
        <w:t>Figura 4:</w:t>
      </w:r>
    </w:p>
    <w:p w:rsidR="004F35D6" w:rsidRPr="00EB07FB" w:rsidRDefault="004F35D6" w:rsidP="00EB07FB">
      <w:pPr>
        <w:spacing w:after="0" w:line="240" w:lineRule="auto"/>
        <w:jc w:val="center"/>
        <w:rPr>
          <w:rFonts w:ascii="Arial" w:eastAsia="Times New Roman" w:hAnsi="Arial" w:cs="Arial"/>
        </w:rPr>
      </w:pPr>
      <w:r w:rsidRPr="00EB07FB">
        <w:rPr>
          <w:rFonts w:ascii="Arial" w:hAnsi="Arial" w:cs="Arial"/>
          <w:noProof/>
        </w:rPr>
        <w:drawing>
          <wp:inline distT="0" distB="0" distL="0" distR="0" wp14:anchorId="3B32F8C8" wp14:editId="2D7EDB96">
            <wp:extent cx="5400040" cy="2961640"/>
            <wp:effectExtent l="0" t="0" r="10160" b="10160"/>
            <wp:docPr id="335847122" name="Gráfico 1">
              <a:extLst xmlns:a="http://schemas.openxmlformats.org/drawingml/2006/main">
                <a:ext uri="{FF2B5EF4-FFF2-40B4-BE49-F238E27FC236}">
                  <a16:creationId xmlns:a16="http://schemas.microsoft.com/office/drawing/2014/main" id="{99DD6B72-131F-7BE3-9EA5-11AB720FFC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35D6" w:rsidRPr="00EB07FB" w:rsidRDefault="004F35D6" w:rsidP="00EB07FB">
      <w:pPr>
        <w:spacing w:after="0" w:line="240" w:lineRule="auto"/>
        <w:jc w:val="center"/>
        <w:rPr>
          <w:rFonts w:ascii="Arial" w:eastAsia="Times New Roman" w:hAnsi="Arial" w:cs="Arial"/>
          <w:bCs/>
        </w:rPr>
      </w:pPr>
      <w:r w:rsidRPr="00EB07FB">
        <w:rPr>
          <w:rFonts w:ascii="Arial" w:eastAsia="Times New Roman" w:hAnsi="Arial" w:cs="Arial"/>
          <w:bCs/>
        </w:rPr>
        <w:t>Fonte: elaboração própria.</w:t>
      </w:r>
    </w:p>
    <w:p w:rsidR="004F35D6" w:rsidRPr="00EB07FB" w:rsidRDefault="004F35D6" w:rsidP="00EB07FB">
      <w:pPr>
        <w:spacing w:after="0" w:line="240" w:lineRule="auto"/>
        <w:jc w:val="both"/>
        <w:rPr>
          <w:rFonts w:ascii="Arial" w:eastAsia="Times New Roman" w:hAnsi="Arial" w:cs="Arial"/>
          <w:bCs/>
        </w:rPr>
      </w:pPr>
    </w:p>
    <w:p w:rsidR="004F35D6" w:rsidRDefault="004F35D6" w:rsidP="00EB07FB">
      <w:pPr>
        <w:spacing w:after="0" w:line="240" w:lineRule="auto"/>
        <w:jc w:val="both"/>
        <w:rPr>
          <w:rFonts w:ascii="Arial" w:eastAsia="Times New Roman" w:hAnsi="Arial" w:cs="Arial"/>
        </w:rPr>
      </w:pPr>
      <w:r w:rsidRPr="00EB07FB">
        <w:rPr>
          <w:rFonts w:ascii="Arial" w:eastAsia="Times New Roman" w:hAnsi="Arial" w:cs="Arial"/>
          <w:b/>
          <w:bCs/>
        </w:rPr>
        <w:t>Resultados</w:t>
      </w:r>
    </w:p>
    <w:p w:rsidR="00EB07FB" w:rsidRPr="00EB07FB" w:rsidRDefault="00EB07FB" w:rsidP="00EB07FB">
      <w:pPr>
        <w:spacing w:after="0" w:line="240" w:lineRule="auto"/>
        <w:jc w:val="both"/>
        <w:rPr>
          <w:rFonts w:ascii="Arial" w:eastAsia="Times New Roman" w:hAnsi="Arial" w:cs="Arial"/>
          <w:sz w:val="16"/>
        </w:rPr>
      </w:pP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 xml:space="preserve">Analisando-se o histórico de 20 anos de manutenção, pode-se observar uma sensível mudança (quase exponencial) nas necessidades de manutenções corretivas </w:t>
      </w:r>
      <w:r w:rsidRPr="00EB07FB">
        <w:rPr>
          <w:rFonts w:ascii="Arial" w:eastAsia="Times New Roman" w:hAnsi="Arial" w:cs="Arial"/>
        </w:rPr>
        <w:lastRenderedPageBreak/>
        <w:t>de GEEs nos últimos anos, principalmente relacionadas à péssima qualidade do diesel, cuja deterioração começou antes de 2020; porém, somente gerou reflexos a partir desta data.</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Os gráficos corroboram com a observação prática; ou seja, indicam que há uma forte correlação entre o aumento da adição do biodiesel e a redução da sua qualidade, pois houve um aumento considerável do número de manutenções corretivas e do custo relacionado a elas, onde o principal serviço necessário era a limpeza da bomba injetora, devido à sujeira no sistema de injeção.</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Com relação aos custos de MC (figura 3), houve um pequeno pico em 2010, um grande pico em 2014, um pico em 2019 e um pico ainda maior em 2022 (em 2021 o custo de MC ultrapassou o custo de MP). Tais picos de custos correspondem aos picos de número de MCs, conforme o gráfico das figuras 1 e 4.</w:t>
      </w:r>
    </w:p>
    <w:p w:rsidR="004F35D6" w:rsidRPr="00EB07FB" w:rsidRDefault="004F35D6" w:rsidP="00EB07FB">
      <w:pPr>
        <w:spacing w:after="0" w:line="240" w:lineRule="auto"/>
        <w:jc w:val="both"/>
        <w:rPr>
          <w:rFonts w:ascii="Arial" w:eastAsia="Times New Roman" w:hAnsi="Arial" w:cs="Arial"/>
        </w:rPr>
      </w:pPr>
      <w:r w:rsidRPr="00EB07FB">
        <w:rPr>
          <w:rFonts w:ascii="Arial" w:eastAsia="Times New Roman" w:hAnsi="Arial" w:cs="Arial"/>
        </w:rPr>
        <w:t>A figura 4 reforça a correlação anterior desde o início da adição de biodiesel (2008) e desvincula tal ocorrência do número de GEEs atendidos.</w:t>
      </w:r>
    </w:p>
    <w:p w:rsidR="004F35D6" w:rsidRPr="00EB07FB" w:rsidRDefault="004F35D6" w:rsidP="00EB07FB">
      <w:pPr>
        <w:spacing w:after="0" w:line="240" w:lineRule="auto"/>
        <w:jc w:val="both"/>
        <w:rPr>
          <w:rFonts w:ascii="Arial" w:eastAsia="Times New Roman" w:hAnsi="Arial" w:cs="Arial"/>
        </w:rPr>
      </w:pPr>
    </w:p>
    <w:p w:rsidR="004F35D6" w:rsidRDefault="004F35D6" w:rsidP="00EB07FB">
      <w:pPr>
        <w:spacing w:after="0" w:line="240" w:lineRule="auto"/>
        <w:jc w:val="both"/>
        <w:rPr>
          <w:rFonts w:ascii="Arial" w:eastAsia="Times New Roman" w:hAnsi="Arial" w:cs="Arial"/>
        </w:rPr>
      </w:pPr>
      <w:r w:rsidRPr="00EB07FB">
        <w:rPr>
          <w:rFonts w:ascii="Arial" w:eastAsia="Times New Roman" w:hAnsi="Arial" w:cs="Arial"/>
          <w:b/>
          <w:bCs/>
        </w:rPr>
        <w:t>Conclusão</w:t>
      </w:r>
    </w:p>
    <w:p w:rsidR="00EB07FB" w:rsidRPr="00EB07FB" w:rsidRDefault="00EB07FB" w:rsidP="00EB07FB">
      <w:pPr>
        <w:spacing w:after="0" w:line="240" w:lineRule="auto"/>
        <w:jc w:val="both"/>
        <w:rPr>
          <w:rFonts w:ascii="Arial" w:eastAsia="Times New Roman" w:hAnsi="Arial" w:cs="Arial"/>
          <w:sz w:val="16"/>
        </w:rPr>
      </w:pP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A redução da qualidade do diesel está diretamente relacionada com a contaminação e aceleração do processo de degradação do diesel com biodiesel, que tem forte influência na perda da confiabilidade do fornecimento de energia pelos GEEs.</w:t>
      </w:r>
    </w:p>
    <w:p w:rsidR="004F35D6" w:rsidRPr="00EB07FB" w:rsidRDefault="004F35D6" w:rsidP="00EB07FB">
      <w:pPr>
        <w:spacing w:after="0" w:line="240" w:lineRule="auto"/>
        <w:jc w:val="both"/>
        <w:rPr>
          <w:rFonts w:ascii="Arial" w:eastAsia="Times New Roman" w:hAnsi="Arial" w:cs="Arial"/>
        </w:rPr>
      </w:pPr>
      <w:r w:rsidRPr="00EB07FB">
        <w:rPr>
          <w:rFonts w:ascii="Arial" w:eastAsia="Times New Roman" w:hAnsi="Arial" w:cs="Arial"/>
        </w:rPr>
        <w:t>A constatação dos fatos obrigou a equipe responsável pelos geradores emergenciais a adotar, no curto prazo, estratégias de antecipação aos problemas, tais como: as trocas de filtros de combustíveis com maior frequência, a limpeza dos tanques e o descarte ecológico do diesel velho com substituição por diesel novo (o que pode ser necessário de 3 em 3 meses), buscando-se melhores fornecedores do produto. Por isso, não é recomendável que se mantenha os tanques cheios, desde que existam mecanismos ágeis para novos abastecimentos, assim que os GEEs entrarem em funcionamento.</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Outra necessidade constatada é a execução de serviços de limpeza das bombas injetoras em um espaço de tempo inferior ao previsto, com média de 18 meses entre cada intervenção no mesmo GEE.</w:t>
      </w:r>
    </w:p>
    <w:p w:rsidR="004F35D6" w:rsidRPr="00EB07FB" w:rsidRDefault="004F35D6" w:rsidP="00E20ED8">
      <w:pPr>
        <w:spacing w:after="0" w:line="240" w:lineRule="auto"/>
        <w:ind w:firstLine="720"/>
        <w:jc w:val="both"/>
        <w:rPr>
          <w:rFonts w:ascii="Arial" w:eastAsia="Times New Roman" w:hAnsi="Arial" w:cs="Arial"/>
        </w:rPr>
      </w:pPr>
      <w:r w:rsidRPr="00EB07FB">
        <w:rPr>
          <w:rFonts w:ascii="Arial" w:eastAsia="Times New Roman" w:hAnsi="Arial" w:cs="Arial"/>
        </w:rPr>
        <w:t>A médio prazo, propõe-se, como estratégia de mitigação dos defeitos e potencial solução de melhoria, a substituição do biodiesel pelo diesel verde (HVO), que também é produzido por biomassa (ex.: soja), conforme Milanez et. al (2021). O HVO é similar ao diesel fóssil, não cria borras, pode ser armazenado por longos períodos (sem necessidade de monitoramento) e pode ser utilizado nos geradores existentes, sem adaptações.</w:t>
      </w:r>
    </w:p>
    <w:p w:rsidR="004F35D6" w:rsidRPr="00EB07FB" w:rsidRDefault="004F35D6" w:rsidP="00EB07FB">
      <w:pPr>
        <w:spacing w:after="0" w:line="240" w:lineRule="auto"/>
        <w:jc w:val="both"/>
        <w:rPr>
          <w:rFonts w:ascii="Arial" w:eastAsia="Times New Roman" w:hAnsi="Arial" w:cs="Arial"/>
        </w:rPr>
      </w:pPr>
      <w:r w:rsidRPr="00EB07FB">
        <w:rPr>
          <w:rFonts w:ascii="Arial" w:eastAsia="Times New Roman" w:hAnsi="Arial" w:cs="Arial"/>
        </w:rPr>
        <w:tab/>
      </w:r>
    </w:p>
    <w:p w:rsidR="004F35D6" w:rsidRPr="00EB07FB" w:rsidRDefault="004F35D6" w:rsidP="00EB07FB">
      <w:pPr>
        <w:spacing w:after="0" w:line="240" w:lineRule="auto"/>
        <w:rPr>
          <w:rFonts w:ascii="Arial" w:eastAsia="Times New Roman" w:hAnsi="Arial" w:cs="Arial"/>
          <w:b/>
          <w:bCs/>
        </w:rPr>
      </w:pPr>
      <w:r w:rsidRPr="00EB07FB">
        <w:rPr>
          <w:rFonts w:ascii="Arial" w:eastAsia="Times New Roman" w:hAnsi="Arial" w:cs="Arial"/>
          <w:b/>
          <w:bCs/>
        </w:rPr>
        <w:t xml:space="preserve">Palavras-chave: </w:t>
      </w:r>
    </w:p>
    <w:p w:rsidR="004F35D6" w:rsidRPr="00EB07FB" w:rsidRDefault="004F35D6" w:rsidP="00EB07FB">
      <w:pPr>
        <w:spacing w:after="0" w:line="240" w:lineRule="auto"/>
        <w:rPr>
          <w:rFonts w:ascii="Arial" w:eastAsia="Times New Roman" w:hAnsi="Arial" w:cs="Arial"/>
        </w:rPr>
      </w:pPr>
      <w:r w:rsidRPr="00EB07FB">
        <w:rPr>
          <w:rFonts w:ascii="Arial" w:eastAsia="Times New Roman" w:hAnsi="Arial" w:cs="Arial"/>
        </w:rPr>
        <w:t>Degradação. Diesel. Biodiesel. Gerador emergencial.</w:t>
      </w:r>
    </w:p>
    <w:p w:rsidR="004F35D6" w:rsidRPr="00EB07FB" w:rsidRDefault="004F35D6" w:rsidP="00EB07FB">
      <w:pPr>
        <w:spacing w:after="0" w:line="240" w:lineRule="auto"/>
        <w:rPr>
          <w:rFonts w:ascii="Arial" w:eastAsia="Times New Roman" w:hAnsi="Arial" w:cs="Arial"/>
        </w:rPr>
      </w:pPr>
    </w:p>
    <w:p w:rsidR="004F35D6" w:rsidRDefault="004F35D6" w:rsidP="00EB07FB">
      <w:pPr>
        <w:spacing w:after="0" w:line="240" w:lineRule="auto"/>
        <w:rPr>
          <w:rFonts w:ascii="Arial" w:hAnsi="Arial" w:cs="Arial"/>
          <w:b/>
        </w:rPr>
      </w:pPr>
      <w:r w:rsidRPr="00EB07FB">
        <w:rPr>
          <w:rFonts w:ascii="Arial" w:hAnsi="Arial" w:cs="Arial"/>
          <w:b/>
        </w:rPr>
        <w:t xml:space="preserve">Referências </w:t>
      </w:r>
    </w:p>
    <w:p w:rsidR="00EB07FB" w:rsidRPr="00EB07FB" w:rsidRDefault="00EB07FB" w:rsidP="00EB07FB">
      <w:pPr>
        <w:spacing w:after="0" w:line="240" w:lineRule="auto"/>
        <w:rPr>
          <w:rFonts w:ascii="Arial" w:hAnsi="Arial" w:cs="Arial"/>
          <w:b/>
          <w:sz w:val="16"/>
        </w:rPr>
      </w:pPr>
      <w:bookmarkStart w:id="1" w:name="_GoBack"/>
      <w:bookmarkEnd w:id="1"/>
    </w:p>
    <w:p w:rsidR="004F35D6" w:rsidRPr="00EB07FB" w:rsidRDefault="004F35D6" w:rsidP="00EB07FB">
      <w:pPr>
        <w:spacing w:after="0" w:line="240" w:lineRule="auto"/>
        <w:jc w:val="both"/>
        <w:rPr>
          <w:rFonts w:ascii="Arial" w:eastAsia="Times New Roman" w:hAnsi="Arial" w:cs="Arial"/>
          <w:color w:val="333333"/>
        </w:rPr>
      </w:pPr>
      <w:r w:rsidRPr="00EB07FB">
        <w:rPr>
          <w:rFonts w:ascii="Arial" w:eastAsia="Times New Roman" w:hAnsi="Arial" w:cs="Arial"/>
          <w:color w:val="333333"/>
        </w:rPr>
        <w:t xml:space="preserve">MILANEZ, A. Y., MAIA, G. P. S., GUIMARÃES, D. D. E FERREIRA, C. L. A.. </w:t>
      </w:r>
      <w:r w:rsidRPr="00EB07FB">
        <w:rPr>
          <w:rFonts w:ascii="Arial" w:eastAsia="Times New Roman" w:hAnsi="Arial" w:cs="Arial"/>
          <w:b/>
          <w:color w:val="333333"/>
        </w:rPr>
        <w:t>Biodiesel e diesel verde no brasil: panorama recente e perspectivas</w:t>
      </w:r>
      <w:r w:rsidRPr="00EB07FB">
        <w:rPr>
          <w:rFonts w:ascii="Arial" w:eastAsia="Times New Roman" w:hAnsi="Arial" w:cs="Arial"/>
          <w:color w:val="333333"/>
        </w:rPr>
        <w:t>, p. 47-56. 2021. BNDES. Disponível em: https://web.bndes.gov.br/bib/jspui/handle/1408/22585. Acesso em: 27/09/2023.</w:t>
      </w:r>
    </w:p>
    <w:p w:rsidR="0051404A" w:rsidRPr="00EB07FB" w:rsidRDefault="004F35D6" w:rsidP="00EB07FB">
      <w:pPr>
        <w:spacing w:after="0" w:line="240" w:lineRule="auto"/>
        <w:rPr>
          <w:rFonts w:ascii="Arial" w:eastAsia="Times New Roman" w:hAnsi="Arial" w:cs="Arial"/>
          <w:color w:val="333333"/>
        </w:rPr>
      </w:pPr>
      <w:r w:rsidRPr="00EB07FB">
        <w:rPr>
          <w:rFonts w:ascii="Arial" w:eastAsia="Times New Roman" w:hAnsi="Arial" w:cs="Arial"/>
          <w:color w:val="333333"/>
        </w:rPr>
        <w:t xml:space="preserve">PETROBRAS. </w:t>
      </w:r>
      <w:r w:rsidRPr="00EB07FB">
        <w:rPr>
          <w:rFonts w:ascii="Arial" w:eastAsia="Times New Roman" w:hAnsi="Arial" w:cs="Arial"/>
          <w:b/>
          <w:color w:val="333333"/>
        </w:rPr>
        <w:t>ÓLEO DIESEL Informações Técnicas: Manual Técnico</w:t>
      </w:r>
      <w:r w:rsidRPr="00EB07FB">
        <w:rPr>
          <w:rFonts w:ascii="Arial" w:eastAsia="Times New Roman" w:hAnsi="Arial" w:cs="Arial"/>
          <w:color w:val="333333"/>
        </w:rPr>
        <w:t>. Versão março/2021. Disponível em: https://petrobras.com.br/data/files/04/93/72/4C/ 5A39C710E2EF93B7B8E99EA8/ Manual-de-Diesel_2</w:t>
      </w:r>
    </w:p>
    <w:p w:rsidR="004F35D6" w:rsidRPr="00EB07FB" w:rsidRDefault="004F35D6" w:rsidP="00EB07FB">
      <w:pPr>
        <w:spacing w:after="0" w:line="240" w:lineRule="auto"/>
        <w:rPr>
          <w:rFonts w:ascii="Arial" w:eastAsia="Times New Roman" w:hAnsi="Arial" w:cs="Arial"/>
          <w:color w:val="333333"/>
        </w:rPr>
      </w:pPr>
    </w:p>
    <w:p w:rsidR="004F35D6" w:rsidRPr="00EB07FB" w:rsidRDefault="004F35D6" w:rsidP="00EB07FB">
      <w:pPr>
        <w:spacing w:after="0" w:line="240" w:lineRule="auto"/>
        <w:rPr>
          <w:rFonts w:ascii="Arial" w:hAnsi="Arial" w:cs="Arial"/>
          <w:b/>
        </w:rPr>
      </w:pPr>
    </w:p>
    <w:sectPr w:rsidR="004F35D6" w:rsidRPr="00EB07FB">
      <w:headerReference w:type="default" r:id="rId14"/>
      <w:footerReference w:type="defaul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44" w:rsidRDefault="00ED3944">
      <w:pPr>
        <w:spacing w:after="0" w:line="240" w:lineRule="auto"/>
      </w:pPr>
      <w:r>
        <w:separator/>
      </w:r>
    </w:p>
  </w:endnote>
  <w:endnote w:type="continuationSeparator" w:id="0">
    <w:p w:rsidR="00ED3944" w:rsidRDefault="00ED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AE141F">
    <w:pPr>
      <w:pBdr>
        <w:top w:val="nil"/>
        <w:left w:val="nil"/>
        <w:bottom w:val="nil"/>
        <w:right w:val="nil"/>
        <w:between w:val="nil"/>
      </w:pBdr>
      <w:tabs>
        <w:tab w:val="center" w:pos="4252"/>
        <w:tab w:val="right" w:pos="8504"/>
      </w:tabs>
      <w:spacing w:after="0" w:line="240" w:lineRule="auto"/>
      <w:rPr>
        <w:i/>
        <w:color w:val="000000"/>
        <w:sz w:val="20"/>
        <w:szCs w:val="20"/>
      </w:rPr>
    </w:pPr>
    <w:r>
      <w:rPr>
        <w:noProof/>
      </w:rPr>
      <mc:AlternateContent>
        <mc:Choice Requires="wps">
          <w:drawing>
            <wp:anchor distT="0" distB="0" distL="114300" distR="114300" simplePos="0" relativeHeight="251663360" behindDoc="0" locked="0" layoutInCell="0" allowOverlap="1" wp14:anchorId="560F1892" wp14:editId="1C2E83E4">
              <wp:simplePos x="0" y="0"/>
              <wp:positionH relativeFrom="rightMargin">
                <wp:posOffset>95885</wp:posOffset>
              </wp:positionH>
              <wp:positionV relativeFrom="page">
                <wp:posOffset>9853295</wp:posOffset>
              </wp:positionV>
              <wp:extent cx="542925" cy="438150"/>
              <wp:effectExtent l="0" t="0" r="9525"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E20ED8" w:rsidRPr="00E20ED8">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1892" id="Retângulo 5" o:spid="_x0000_s1029" style="position:absolute;margin-left:7.55pt;margin-top:775.85pt;width:42.75pt;height:34.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" o:allowincell="f" stroked="f">
              <v:textbox>
                <w:txbxContent>
                  <w:sdt>
                    <w:sdtPr>
                      <w:rPr>
                        <w:rFonts w:asciiTheme="majorHAnsi" w:eastAsiaTheme="majorEastAsia" w:hAnsiTheme="majorHAnsi" w:cstheme="majorBidi"/>
                        <w:b/>
                        <w:sz w:val="28"/>
                        <w:szCs w:val="48"/>
                      </w:rPr>
                      <w:id w:val="-1807150379"/>
                      <w:docPartObj>
                        <w:docPartGallery w:val="Page Numbers (Margins)"/>
                        <w:docPartUnique/>
                      </w:docPartObj>
                    </w:sdtPr>
                    <w:sdtEndPr/>
                    <w:sdtContent>
                      <w:p w:rsidR="00AE141F" w:rsidRPr="003B7A74" w:rsidRDefault="00AE141F" w:rsidP="00AE141F">
                        <w:pPr>
                          <w:pBdr>
                            <w:top w:val="single" w:sz="4" w:space="1" w:color="auto"/>
                            <w:bottom w:val="single" w:sz="4" w:space="1" w:color="auto"/>
                          </w:pBdr>
                          <w:jc w:val="center"/>
                          <w:rPr>
                            <w:rFonts w:asciiTheme="majorHAnsi" w:eastAsiaTheme="majorEastAsia" w:hAnsiTheme="majorHAnsi" w:cstheme="majorBidi"/>
                            <w:b/>
                            <w:sz w:val="40"/>
                            <w:szCs w:val="72"/>
                            <w:u w:val="single"/>
                          </w:rPr>
                        </w:pPr>
                        <w:r w:rsidRPr="003B7A74">
                          <w:rPr>
                            <w:rFonts w:asciiTheme="minorHAnsi" w:eastAsiaTheme="minorEastAsia" w:hAnsiTheme="minorHAnsi" w:cs="Times New Roman"/>
                            <w:b/>
                            <w:sz w:val="12"/>
                          </w:rPr>
                          <w:fldChar w:fldCharType="begin"/>
                        </w:r>
                        <w:r w:rsidRPr="003B7A74">
                          <w:rPr>
                            <w:b/>
                            <w:sz w:val="12"/>
                          </w:rPr>
                          <w:instrText>PAGE  \* MERGEFORMAT</w:instrText>
                        </w:r>
                        <w:r w:rsidRPr="003B7A74">
                          <w:rPr>
                            <w:rFonts w:asciiTheme="minorHAnsi" w:eastAsiaTheme="minorEastAsia" w:hAnsiTheme="minorHAnsi" w:cs="Times New Roman"/>
                            <w:b/>
                            <w:sz w:val="12"/>
                          </w:rPr>
                          <w:fldChar w:fldCharType="separate"/>
                        </w:r>
                        <w:r w:rsidR="00E20ED8" w:rsidRPr="00E20ED8">
                          <w:rPr>
                            <w:rFonts w:asciiTheme="majorHAnsi" w:eastAsiaTheme="majorEastAsia" w:hAnsiTheme="majorHAnsi" w:cstheme="majorBidi"/>
                            <w:b/>
                            <w:noProof/>
                            <w:sz w:val="28"/>
                            <w:szCs w:val="48"/>
                          </w:rPr>
                          <w:t>2</w:t>
                        </w:r>
                        <w:r w:rsidRPr="003B7A74">
                          <w:rPr>
                            <w:rFonts w:asciiTheme="majorHAnsi" w:eastAsiaTheme="majorEastAsia" w:hAnsiTheme="majorHAnsi" w:cstheme="majorBidi"/>
                            <w:b/>
                            <w:sz w:val="28"/>
                            <w:szCs w:val="48"/>
                          </w:rPr>
                          <w:fldChar w:fldCharType="end"/>
                        </w:r>
                      </w:p>
                    </w:sdtContent>
                  </w:sdt>
                </w:txbxContent>
              </v:textbox>
              <w10:wrap anchorx="margin" anchory="page"/>
            </v:rect>
          </w:pict>
        </mc:Fallback>
      </mc:AlternateContent>
    </w:r>
    <w:r w:rsidR="00702B40">
      <w:rPr>
        <w:color w:val="000000"/>
        <w:sz w:val="18"/>
        <w:szCs w:val="18"/>
      </w:rPr>
      <w:br/>
    </w:r>
    <w:r w:rsidR="00702B40">
      <w:rPr>
        <w:noProof/>
        <w:color w:val="000000"/>
      </w:rPr>
      <w:drawing>
        <wp:inline distT="0" distB="0" distL="0" distR="0">
          <wp:extent cx="762000" cy="142875"/>
          <wp:effectExtent l="0" t="0" r="0" b="0"/>
          <wp:docPr id="1446367319" name="image1.png" descr="Licença Creative Commons"/>
          <wp:cNvGraphicFramePr/>
          <a:graphic xmlns:a="http://schemas.openxmlformats.org/drawingml/2006/main">
            <a:graphicData uri="http://schemas.openxmlformats.org/drawingml/2006/picture">
              <pic:pic xmlns:pic="http://schemas.openxmlformats.org/drawingml/2006/picture">
                <pic:nvPicPr>
                  <pic:cNvPr id="0" name="image1.png" descr="Licença Creative Commons"/>
                  <pic:cNvPicPr preferRelativeResize="0"/>
                </pic:nvPicPr>
                <pic:blipFill>
                  <a:blip r:embed="rId1"/>
                  <a:srcRect/>
                  <a:stretch>
                    <a:fillRect/>
                  </a:stretch>
                </pic:blipFill>
                <pic:spPr>
                  <a:xfrm>
                    <a:off x="0" y="0"/>
                    <a:ext cx="762000" cy="142875"/>
                  </a:xfrm>
                  <a:prstGeom prst="rect">
                    <a:avLst/>
                  </a:prstGeom>
                  <a:ln/>
                </pic:spPr>
              </pic:pic>
            </a:graphicData>
          </a:graphic>
        </wp:inline>
      </w:drawing>
    </w:r>
    <w:r w:rsidR="00702B40">
      <w:rPr>
        <w:color w:val="000000"/>
        <w:sz w:val="18"/>
        <w:szCs w:val="18"/>
      </w:rPr>
      <w:t xml:space="preserve"> </w:t>
    </w:r>
    <w:r w:rsidR="00702B40">
      <w:rPr>
        <w:color w:val="000000"/>
        <w:sz w:val="18"/>
        <w:szCs w:val="18"/>
      </w:rPr>
      <w:br/>
    </w:r>
    <w:r w:rsidR="00702B40">
      <w:rPr>
        <w:i/>
        <w:color w:val="000000"/>
        <w:sz w:val="20"/>
        <w:szCs w:val="20"/>
      </w:rPr>
      <w:t>Congr. Prof. Univ. Estaduais de São Paulo, Campinas, SP, n.2, e023</w:t>
    </w:r>
    <w:r w:rsidR="00E20ED8">
      <w:rPr>
        <w:i/>
        <w:color w:val="000000"/>
        <w:sz w:val="20"/>
        <w:szCs w:val="20"/>
      </w:rPr>
      <w:t>159</w:t>
    </w:r>
    <w:r w:rsidR="00702B40">
      <w:rPr>
        <w:i/>
        <w:color w:val="000000"/>
        <w:sz w:val="20"/>
        <w:szCs w:val="20"/>
      </w:rPr>
      <w:t>, 2023 – ISSN: 2237-4221</w:t>
    </w:r>
    <w:r w:rsidR="00702B40">
      <w:rPr>
        <w:noProof/>
      </w:rPr>
      <mc:AlternateContent>
        <mc:Choice Requires="wps">
          <w:drawing>
            <wp:anchor distT="0" distB="0" distL="114300" distR="114300" simplePos="0" relativeHeight="251660288" behindDoc="0" locked="0" layoutInCell="1" hidden="0" allowOverlap="1">
              <wp:simplePos x="0" y="0"/>
              <wp:positionH relativeFrom="column">
                <wp:posOffset>5638800</wp:posOffset>
              </wp:positionH>
              <wp:positionV relativeFrom="paragraph">
                <wp:posOffset>63500</wp:posOffset>
              </wp:positionV>
              <wp:extent cx="304798" cy="1533525"/>
              <wp:effectExtent l="0" t="0" r="0" b="0"/>
              <wp:wrapNone/>
              <wp:docPr id="1446367317" name="Retângulo 1446367317"/>
              <wp:cNvGraphicFramePr/>
              <a:graphic xmlns:a="http://schemas.openxmlformats.org/drawingml/2006/main">
                <a:graphicData uri="http://schemas.microsoft.com/office/word/2010/wordprocessingShape">
                  <wps:wsp>
                    <wps:cNvSpPr/>
                    <wps:spPr>
                      <a:xfrm rot="5400000">
                        <a:off x="5203125" y="3022763"/>
                        <a:ext cx="285750" cy="1514475"/>
                      </a:xfrm>
                      <a:prstGeom prst="rect">
                        <a:avLst/>
                      </a:prstGeom>
                      <a:solidFill>
                        <a:srgbClr val="00B0F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7" o:spid="_x0000_s1030" style="position:absolute;margin-left:444pt;margin-top:5pt;width:24pt;height:120.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" fillcolor="#00b0f0" stroked="f">
              <v:textbox inset="2.53958mm,2.53958mm,2.53958mm,2.53958mm">
                <w:txbxContent>
                  <w:p w:rsidR="00E7529B" w:rsidRDefault="00E7529B">
                    <w:pPr>
                      <w:spacing w:after="0" w:line="240" w:lineRule="auto"/>
                      <w:textDirection w:val="btLr"/>
                    </w:pPr>
                  </w:p>
                </w:txbxContent>
              </v:textbox>
            </v:rect>
          </w:pict>
        </mc:Fallback>
      </mc:AlternateContent>
    </w:r>
    <w:r w:rsidR="00702B40">
      <w:rPr>
        <w:noProof/>
      </w:rPr>
      <mc:AlternateContent>
        <mc:Choice Requires="wps">
          <w:drawing>
            <wp:anchor distT="0" distB="0" distL="114300" distR="114300" simplePos="0" relativeHeight="251661312" behindDoc="0" locked="0" layoutInCell="1" hidden="0" allowOverlap="1">
              <wp:simplePos x="0" y="0"/>
              <wp:positionH relativeFrom="column">
                <wp:posOffset>355600</wp:posOffset>
              </wp:positionH>
              <wp:positionV relativeFrom="paragraph">
                <wp:posOffset>9906000</wp:posOffset>
              </wp:positionV>
              <wp:extent cx="561975" cy="457200"/>
              <wp:effectExtent l="0" t="0" r="0" b="0"/>
              <wp:wrapNone/>
              <wp:docPr id="1446367316" name="Retângulo 1446367316"/>
              <wp:cNvGraphicFramePr/>
              <a:graphic xmlns:a="http://schemas.openxmlformats.org/drawingml/2006/main">
                <a:graphicData uri="http://schemas.microsoft.com/office/word/2010/wordprocessingShape">
                  <wps:wsp>
                    <wps:cNvSpPr/>
                    <wps:spPr>
                      <a:xfrm>
                        <a:off x="5074538" y="3560925"/>
                        <a:ext cx="542925" cy="438150"/>
                      </a:xfrm>
                      <a:prstGeom prst="rect">
                        <a:avLst/>
                      </a:prstGeom>
                      <a:solidFill>
                        <a:srgbClr val="FFFFFF"/>
                      </a:solidFill>
                      <a:ln>
                        <a:noFill/>
                      </a:ln>
                    </wps:spPr>
                    <wps:txbx>
                      <w:txbxContent>
                        <w:p w:rsidR="00E7529B" w:rsidRDefault="00702B40">
                          <w:pPr>
                            <w:spacing w:line="258" w:lineRule="auto"/>
                            <w:jc w:val="center"/>
                            <w:textDirection w:val="btLr"/>
                          </w:pPr>
                          <w:r>
                            <w:rPr>
                              <w:b/>
                              <w:color w:val="000000"/>
                              <w:sz w:val="12"/>
                            </w:rPr>
                            <w:t>PAGE  \* MERGEFORMAT</w:t>
                          </w:r>
                          <w:r>
                            <w:rPr>
                              <w:b/>
                              <w:color w:val="000000"/>
                              <w:sz w:val="28"/>
                            </w:rPr>
                            <w:t>3</w:t>
                          </w:r>
                        </w:p>
                      </w:txbxContent>
                    </wps:txbx>
                    <wps:bodyPr spcFirstLastPara="1" wrap="square" lIns="91425" tIns="45700" rIns="91425" bIns="45700" anchor="t" anchorCtr="0">
                      <a:noAutofit/>
                    </wps:bodyPr>
                  </wps:wsp>
                </a:graphicData>
              </a:graphic>
            </wp:anchor>
          </w:drawing>
        </mc:Choice>
        <mc:Fallback>
          <w:pict>
            <v:rect id="Retângulo 1446367316" o:spid="_x0000_s1031" style="position:absolute;margin-left:28pt;margin-top:780pt;width:4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" stroked="f">
              <v:textbox inset="2.53958mm,1.2694mm,2.53958mm,1.2694mm">
                <w:txbxContent>
                  <w:p w:rsidR="00E7529B" w:rsidRDefault="00702B40">
                    <w:pPr>
                      <w:spacing w:line="258" w:lineRule="auto"/>
                      <w:jc w:val="center"/>
                      <w:textDirection w:val="btLr"/>
                    </w:pPr>
                    <w:proofErr w:type="gramStart"/>
                    <w:r>
                      <w:rPr>
                        <w:b/>
                        <w:color w:val="000000"/>
                        <w:sz w:val="12"/>
                      </w:rPr>
                      <w:t>PAGE  \</w:t>
                    </w:r>
                    <w:proofErr w:type="gramEnd"/>
                    <w:r>
                      <w:rPr>
                        <w:b/>
                        <w:color w:val="000000"/>
                        <w:sz w:val="12"/>
                      </w:rPr>
                      <w:t>* MERGEFORMAT</w:t>
                    </w:r>
                    <w:r>
                      <w:rPr>
                        <w:b/>
                        <w:color w:val="000000"/>
                        <w:sz w:val="28"/>
                      </w:rPr>
                      <w:t>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44" w:rsidRDefault="00ED3944">
      <w:pPr>
        <w:spacing w:after="0" w:line="240" w:lineRule="auto"/>
      </w:pPr>
      <w:r>
        <w:separator/>
      </w:r>
    </w:p>
  </w:footnote>
  <w:footnote w:type="continuationSeparator" w:id="0">
    <w:p w:rsidR="00ED3944" w:rsidRDefault="00ED3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9B" w:rsidRDefault="00702B4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091292" cy="1017829"/>
          <wp:effectExtent l="0" t="0" r="0" b="0"/>
          <wp:docPr id="1446367318"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3091292" cy="1017829"/>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-1130299</wp:posOffset>
              </wp:positionH>
              <wp:positionV relativeFrom="paragraph">
                <wp:posOffset>-558799</wp:posOffset>
              </wp:positionV>
              <wp:extent cx="304800" cy="1533525"/>
              <wp:effectExtent l="0" t="0" r="0" b="0"/>
              <wp:wrapNone/>
              <wp:docPr id="1446367315" name="Retângulo 1446367315"/>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C00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5" o:spid="_x0000_s1027" style="position:absolute;left:0;text-align:left;margin-left:-89pt;margin-top:-44pt;width:24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" fillcolor="#c00000" stroked="f">
              <v:textbox inset="2.53958mm,2.53958mm,2.53958mm,2.53958mm">
                <w:txbxContent>
                  <w:p w:rsidR="00E7529B" w:rsidRDefault="00E7529B">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6235700</wp:posOffset>
              </wp:positionH>
              <wp:positionV relativeFrom="paragraph">
                <wp:posOffset>-558799</wp:posOffset>
              </wp:positionV>
              <wp:extent cx="304800" cy="1533525"/>
              <wp:effectExtent l="0" t="0" r="0" b="0"/>
              <wp:wrapNone/>
              <wp:docPr id="1446367314" name="Retângulo 1446367314"/>
              <wp:cNvGraphicFramePr/>
              <a:graphic xmlns:a="http://schemas.openxmlformats.org/drawingml/2006/main">
                <a:graphicData uri="http://schemas.microsoft.com/office/word/2010/wordprocessingShape">
                  <wps:wsp>
                    <wps:cNvSpPr/>
                    <wps:spPr>
                      <a:xfrm>
                        <a:off x="5203125" y="3022763"/>
                        <a:ext cx="285750" cy="1514475"/>
                      </a:xfrm>
                      <a:prstGeom prst="rect">
                        <a:avLst/>
                      </a:prstGeom>
                      <a:solidFill>
                        <a:srgbClr val="FFC000"/>
                      </a:solidFill>
                      <a:ln>
                        <a:noFill/>
                      </a:ln>
                    </wps:spPr>
                    <wps:txbx>
                      <w:txbxContent>
                        <w:p w:rsidR="00E7529B" w:rsidRDefault="00E7529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ângulo 1446367314" o:spid="_x0000_s1028" style="position:absolute;left:0;text-align:left;margin-left:491pt;margin-top:-44pt;width:24pt;height:1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" fillcolor="#ffc000" stroked="f">
              <v:textbox inset="2.53958mm,2.53958mm,2.53958mm,2.53958mm">
                <w:txbxContent>
                  <w:p w:rsidR="00E7529B" w:rsidRDefault="00E7529B">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350A1"/>
    <w:multiLevelType w:val="hybridMultilevel"/>
    <w:tmpl w:val="D11EE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9B"/>
    <w:rsid w:val="00012B97"/>
    <w:rsid w:val="00102229"/>
    <w:rsid w:val="00166B2A"/>
    <w:rsid w:val="002270BD"/>
    <w:rsid w:val="002518F7"/>
    <w:rsid w:val="0029762B"/>
    <w:rsid w:val="002A3AA2"/>
    <w:rsid w:val="00315EB4"/>
    <w:rsid w:val="00401446"/>
    <w:rsid w:val="004C0B39"/>
    <w:rsid w:val="004D25AA"/>
    <w:rsid w:val="004F35D6"/>
    <w:rsid w:val="0051404A"/>
    <w:rsid w:val="00580617"/>
    <w:rsid w:val="005967F0"/>
    <w:rsid w:val="006619ED"/>
    <w:rsid w:val="00702B40"/>
    <w:rsid w:val="00770D2D"/>
    <w:rsid w:val="007A66D5"/>
    <w:rsid w:val="007A7F61"/>
    <w:rsid w:val="007B766D"/>
    <w:rsid w:val="007F49E9"/>
    <w:rsid w:val="00811444"/>
    <w:rsid w:val="008C47D8"/>
    <w:rsid w:val="00984D65"/>
    <w:rsid w:val="009E5935"/>
    <w:rsid w:val="00A157D3"/>
    <w:rsid w:val="00AE141F"/>
    <w:rsid w:val="00B11205"/>
    <w:rsid w:val="00B74056"/>
    <w:rsid w:val="00BD6D21"/>
    <w:rsid w:val="00BF3F57"/>
    <w:rsid w:val="00C94F05"/>
    <w:rsid w:val="00CF3405"/>
    <w:rsid w:val="00D63CE9"/>
    <w:rsid w:val="00D814A7"/>
    <w:rsid w:val="00D9500C"/>
    <w:rsid w:val="00E20ED8"/>
    <w:rsid w:val="00E30764"/>
    <w:rsid w:val="00E7529B"/>
    <w:rsid w:val="00E902D5"/>
    <w:rsid w:val="00EB07FB"/>
    <w:rsid w:val="00ED3944"/>
    <w:rsid w:val="00ED5F70"/>
    <w:rsid w:val="00F006E7"/>
    <w:rsid w:val="00FF57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DE60"/>
  <w15:docId w15:val="{F196AAB5-5662-43ED-A5DD-946FCFE9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1644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4F7"/>
  </w:style>
  <w:style w:type="paragraph" w:styleId="Rodap">
    <w:name w:val="footer"/>
    <w:basedOn w:val="Normal"/>
    <w:link w:val="RodapChar"/>
    <w:uiPriority w:val="99"/>
    <w:unhideWhenUsed/>
    <w:rsid w:val="001644F7"/>
    <w:pPr>
      <w:tabs>
        <w:tab w:val="center" w:pos="4252"/>
        <w:tab w:val="right" w:pos="8504"/>
      </w:tabs>
      <w:spacing w:after="0" w:line="240" w:lineRule="auto"/>
    </w:pPr>
  </w:style>
  <w:style w:type="character" w:customStyle="1" w:styleId="RodapChar">
    <w:name w:val="Rodapé Char"/>
    <w:basedOn w:val="Fontepargpadro"/>
    <w:link w:val="Rodap"/>
    <w:uiPriority w:val="99"/>
    <w:rsid w:val="001644F7"/>
  </w:style>
  <w:style w:type="character" w:styleId="Hyperlink">
    <w:name w:val="Hyperlink"/>
    <w:basedOn w:val="Fontepargpadro"/>
    <w:uiPriority w:val="99"/>
    <w:unhideWhenUsed/>
    <w:rsid w:val="00B76796"/>
    <w:rPr>
      <w:color w:val="0563C1" w:themeColor="hyperlink"/>
      <w:u w:val="single"/>
    </w:rPr>
  </w:style>
  <w:style w:type="paragraph" w:styleId="NormalWeb">
    <w:name w:val="Normal (Web)"/>
    <w:basedOn w:val="Normal"/>
    <w:uiPriority w:val="99"/>
    <w:unhideWhenUsed/>
    <w:rsid w:val="009509C2"/>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sid w:val="00102229"/>
    <w:rPr>
      <w:b/>
      <w:bCs/>
    </w:rPr>
  </w:style>
  <w:style w:type="paragraph" w:styleId="PargrafodaLista">
    <w:name w:val="List Paragraph"/>
    <w:basedOn w:val="Normal"/>
    <w:uiPriority w:val="34"/>
    <w:qFormat/>
    <w:rsid w:val="0051404A"/>
    <w:pPr>
      <w:ind w:left="720"/>
      <w:contextualSpacing/>
    </w:pPr>
  </w:style>
  <w:style w:type="paragraph" w:customStyle="1" w:styleId="Standard">
    <w:name w:val="Standard"/>
    <w:rsid w:val="00BF3F57"/>
    <w:pPr>
      <w:suppressAutoHyphens/>
      <w:autoSpaceDN w:val="0"/>
      <w:textAlignment w:val="baseline"/>
    </w:pPr>
    <w:rPr>
      <w:rFonts w:cs="F"/>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abig@unicamp.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Custos de Manutenção em GEEs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v>MCs (Corretivas)</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Planilha1!$B$1:$V$1</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Planilha1!$B$5:$V$5</c:f>
              <c:numCache>
                <c:formatCode>"R$"\ #,##0.00</c:formatCode>
                <c:ptCount val="21"/>
                <c:pt idx="0">
                  <c:v>4754.5</c:v>
                </c:pt>
                <c:pt idx="1">
                  <c:v>9111.5119999999988</c:v>
                </c:pt>
                <c:pt idx="2">
                  <c:v>2183.7248999999997</c:v>
                </c:pt>
                <c:pt idx="3">
                  <c:v>6331.3470000000007</c:v>
                </c:pt>
                <c:pt idx="4">
                  <c:v>8758.9391999999989</c:v>
                </c:pt>
                <c:pt idx="5">
                  <c:v>8820.7103999999999</c:v>
                </c:pt>
                <c:pt idx="6">
                  <c:v>13303.916500000001</c:v>
                </c:pt>
                <c:pt idx="7">
                  <c:v>14983.255999999999</c:v>
                </c:pt>
                <c:pt idx="8">
                  <c:v>26543.541000000005</c:v>
                </c:pt>
                <c:pt idx="9">
                  <c:v>25269.3</c:v>
                </c:pt>
                <c:pt idx="10">
                  <c:v>9624.2577000000001</c:v>
                </c:pt>
                <c:pt idx="11">
                  <c:v>18452.185799999999</c:v>
                </c:pt>
                <c:pt idx="12">
                  <c:v>120093.03679999999</c:v>
                </c:pt>
                <c:pt idx="13">
                  <c:v>19368.376499999998</c:v>
                </c:pt>
                <c:pt idx="14">
                  <c:v>25940.542400000002</c:v>
                </c:pt>
                <c:pt idx="15">
                  <c:v>75803.489999999991</c:v>
                </c:pt>
                <c:pt idx="16">
                  <c:v>71706.367200000008</c:v>
                </c:pt>
                <c:pt idx="17">
                  <c:v>108704.3895</c:v>
                </c:pt>
                <c:pt idx="18">
                  <c:v>90065.505600000004</c:v>
                </c:pt>
                <c:pt idx="19">
                  <c:v>83251.787299999996</c:v>
                </c:pt>
                <c:pt idx="20">
                  <c:v>142963.04840000003</c:v>
                </c:pt>
              </c:numCache>
            </c:numRef>
          </c:val>
          <c:smooth val="0"/>
          <c:extLst>
            <c:ext xmlns:c16="http://schemas.microsoft.com/office/drawing/2014/chart" uri="{C3380CC4-5D6E-409C-BE32-E72D297353CC}">
              <c16:uniqueId val="{00000000-781C-487C-BD58-35ABCEE10C5E}"/>
            </c:ext>
          </c:extLst>
        </c:ser>
        <c:ser>
          <c:idx val="1"/>
          <c:order val="1"/>
          <c:tx>
            <c:v>MPs (Preventivas)</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Planilha1!$B$1:$V$1</c:f>
              <c:numCache>
                <c:formatCode>General</c:formatCod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numCache>
            </c:numRef>
          </c:cat>
          <c:val>
            <c:numRef>
              <c:f>Planilha1!$B$6:$V$6</c:f>
              <c:numCache>
                <c:formatCode>"R$"\ #,##0.00</c:formatCode>
                <c:ptCount val="21"/>
                <c:pt idx="0">
                  <c:v>717.57799999999997</c:v>
                </c:pt>
                <c:pt idx="1">
                  <c:v>3731</c:v>
                </c:pt>
                <c:pt idx="2">
                  <c:v>53081.319900000002</c:v>
                </c:pt>
                <c:pt idx="3">
                  <c:v>58630.733999999997</c:v>
                </c:pt>
                <c:pt idx="4">
                  <c:v>97725.936000000002</c:v>
                </c:pt>
                <c:pt idx="5">
                  <c:v>81845.401599999997</c:v>
                </c:pt>
                <c:pt idx="6">
                  <c:v>84058.52</c:v>
                </c:pt>
                <c:pt idx="7">
                  <c:v>78452.493599999987</c:v>
                </c:pt>
                <c:pt idx="8">
                  <c:v>86693.664000000004</c:v>
                </c:pt>
                <c:pt idx="9">
                  <c:v>133483.98000000001</c:v>
                </c:pt>
                <c:pt idx="10">
                  <c:v>124127.73</c:v>
                </c:pt>
                <c:pt idx="11">
                  <c:v>120606.12000000001</c:v>
                </c:pt>
                <c:pt idx="12">
                  <c:v>117560.96000000001</c:v>
                </c:pt>
                <c:pt idx="13">
                  <c:v>129683.4</c:v>
                </c:pt>
                <c:pt idx="14">
                  <c:v>130962.06</c:v>
                </c:pt>
                <c:pt idx="15">
                  <c:v>128785.99999999999</c:v>
                </c:pt>
                <c:pt idx="16">
                  <c:v>123598.092</c:v>
                </c:pt>
                <c:pt idx="17">
                  <c:v>117889.71649999999</c:v>
                </c:pt>
                <c:pt idx="18">
                  <c:v>115938.9</c:v>
                </c:pt>
                <c:pt idx="19">
                  <c:v>120269.82550000001</c:v>
                </c:pt>
                <c:pt idx="20">
                  <c:v>111588.75000000001</c:v>
                </c:pt>
              </c:numCache>
            </c:numRef>
          </c:val>
          <c:smooth val="0"/>
          <c:extLst>
            <c:ext xmlns:c16="http://schemas.microsoft.com/office/drawing/2014/chart" uri="{C3380CC4-5D6E-409C-BE32-E72D297353CC}">
              <c16:uniqueId val="{00000001-781C-487C-BD58-35ABCEE10C5E}"/>
            </c:ext>
          </c:extLst>
        </c:ser>
        <c:dLbls>
          <c:showLegendKey val="0"/>
          <c:showVal val="0"/>
          <c:showCatName val="0"/>
          <c:showSerName val="0"/>
          <c:showPercent val="0"/>
          <c:showBubbleSize val="0"/>
        </c:dLbls>
        <c:marker val="1"/>
        <c:smooth val="0"/>
        <c:axId val="407749792"/>
        <c:axId val="407747048"/>
      </c:lineChart>
      <c:catAx>
        <c:axId val="40774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7747048"/>
        <c:crosses val="autoZero"/>
        <c:auto val="1"/>
        <c:lblAlgn val="ctr"/>
        <c:lblOffset val="100"/>
        <c:noMultiLvlLbl val="0"/>
      </c:catAx>
      <c:valAx>
        <c:axId val="407747048"/>
        <c:scaling>
          <c:orientation val="minMax"/>
        </c:scaling>
        <c:delete val="0"/>
        <c:axPos val="l"/>
        <c:majorGridlines>
          <c:spPr>
            <a:ln w="9525" cap="flat" cmpd="sng" algn="ctr">
              <a:solidFill>
                <a:schemeClr val="tx1">
                  <a:lumMod val="15000"/>
                  <a:lumOff val="85000"/>
                </a:schemeClr>
              </a:solidFill>
              <a:round/>
            </a:ln>
            <a:effectLst/>
          </c:spPr>
        </c:majorGridlines>
        <c:numFmt formatCode="&quot;R$&quot;\ #,##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774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Gráfico do % de Biodiesel, das MCs e do nº de GEEs por ano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v>% de Biodiesel</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Planilha1!$B$1:$P$1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Planilha1!$B$2:$P$2</c:f>
              <c:numCache>
                <c:formatCode>General</c:formatCode>
                <c:ptCount val="15"/>
                <c:pt idx="0">
                  <c:v>2</c:v>
                </c:pt>
                <c:pt idx="1">
                  <c:v>4</c:v>
                </c:pt>
                <c:pt idx="2">
                  <c:v>4</c:v>
                </c:pt>
                <c:pt idx="3">
                  <c:v>4</c:v>
                </c:pt>
                <c:pt idx="4">
                  <c:v>4</c:v>
                </c:pt>
                <c:pt idx="5">
                  <c:v>4</c:v>
                </c:pt>
                <c:pt idx="6">
                  <c:v>5</c:v>
                </c:pt>
                <c:pt idx="7">
                  <c:v>7</c:v>
                </c:pt>
                <c:pt idx="8">
                  <c:v>7</c:v>
                </c:pt>
                <c:pt idx="9">
                  <c:v>8</c:v>
                </c:pt>
                <c:pt idx="10">
                  <c:v>10</c:v>
                </c:pt>
                <c:pt idx="11">
                  <c:v>11</c:v>
                </c:pt>
                <c:pt idx="12">
                  <c:v>12</c:v>
                </c:pt>
                <c:pt idx="13">
                  <c:v>12</c:v>
                </c:pt>
                <c:pt idx="14">
                  <c:v>10</c:v>
                </c:pt>
              </c:numCache>
            </c:numRef>
          </c:val>
          <c:smooth val="0"/>
          <c:extLst>
            <c:ext xmlns:c16="http://schemas.microsoft.com/office/drawing/2014/chart" uri="{C3380CC4-5D6E-409C-BE32-E72D297353CC}">
              <c16:uniqueId val="{00000000-DEDF-4DBF-BEC0-0B94F19B7314}"/>
            </c:ext>
          </c:extLst>
        </c:ser>
        <c:ser>
          <c:idx val="1"/>
          <c:order val="1"/>
          <c:tx>
            <c:v>nº de MCs</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Planilha1!$B$1:$P$1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Planilha1!$B$3:$P$3</c:f>
              <c:numCache>
                <c:formatCode>General</c:formatCode>
                <c:ptCount val="15"/>
                <c:pt idx="0">
                  <c:v>21</c:v>
                </c:pt>
                <c:pt idx="1">
                  <c:v>15</c:v>
                </c:pt>
                <c:pt idx="2">
                  <c:v>23</c:v>
                </c:pt>
                <c:pt idx="3">
                  <c:v>19</c:v>
                </c:pt>
                <c:pt idx="4">
                  <c:v>16</c:v>
                </c:pt>
                <c:pt idx="5">
                  <c:v>18</c:v>
                </c:pt>
                <c:pt idx="6">
                  <c:v>27</c:v>
                </c:pt>
                <c:pt idx="7">
                  <c:v>24</c:v>
                </c:pt>
                <c:pt idx="8">
                  <c:v>20</c:v>
                </c:pt>
                <c:pt idx="9">
                  <c:v>24</c:v>
                </c:pt>
                <c:pt idx="10">
                  <c:v>20</c:v>
                </c:pt>
                <c:pt idx="11">
                  <c:v>31</c:v>
                </c:pt>
                <c:pt idx="12">
                  <c:v>23</c:v>
                </c:pt>
                <c:pt idx="13">
                  <c:v>42</c:v>
                </c:pt>
                <c:pt idx="14">
                  <c:v>66</c:v>
                </c:pt>
              </c:numCache>
            </c:numRef>
          </c:val>
          <c:smooth val="0"/>
          <c:extLst>
            <c:ext xmlns:c16="http://schemas.microsoft.com/office/drawing/2014/chart" uri="{C3380CC4-5D6E-409C-BE32-E72D297353CC}">
              <c16:uniqueId val="{00000001-DEDF-4DBF-BEC0-0B94F19B7314}"/>
            </c:ext>
          </c:extLst>
        </c:ser>
        <c:ser>
          <c:idx val="2"/>
          <c:order val="2"/>
          <c:tx>
            <c:v>nº de GEEs</c:v>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Planilha1!$B$1:$P$1</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Planilha1!$B$4:$P$4</c:f>
              <c:numCache>
                <c:formatCode>General</c:formatCode>
                <c:ptCount val="15"/>
                <c:pt idx="0">
                  <c:v>10</c:v>
                </c:pt>
                <c:pt idx="1">
                  <c:v>10</c:v>
                </c:pt>
                <c:pt idx="2">
                  <c:v>19</c:v>
                </c:pt>
                <c:pt idx="3">
                  <c:v>20</c:v>
                </c:pt>
                <c:pt idx="4">
                  <c:v>20</c:v>
                </c:pt>
                <c:pt idx="5">
                  <c:v>21</c:v>
                </c:pt>
                <c:pt idx="6">
                  <c:v>25</c:v>
                </c:pt>
                <c:pt idx="7">
                  <c:v>26</c:v>
                </c:pt>
                <c:pt idx="8">
                  <c:v>28</c:v>
                </c:pt>
                <c:pt idx="9">
                  <c:v>28</c:v>
                </c:pt>
                <c:pt idx="10">
                  <c:v>28</c:v>
                </c:pt>
                <c:pt idx="11">
                  <c:v>28</c:v>
                </c:pt>
                <c:pt idx="12">
                  <c:v>27</c:v>
                </c:pt>
                <c:pt idx="13">
                  <c:v>32</c:v>
                </c:pt>
                <c:pt idx="14">
                  <c:v>33</c:v>
                </c:pt>
              </c:numCache>
            </c:numRef>
          </c:val>
          <c:smooth val="0"/>
          <c:extLst>
            <c:ext xmlns:c16="http://schemas.microsoft.com/office/drawing/2014/chart" uri="{C3380CC4-5D6E-409C-BE32-E72D297353CC}">
              <c16:uniqueId val="{00000002-DEDF-4DBF-BEC0-0B94F19B7314}"/>
            </c:ext>
          </c:extLst>
        </c:ser>
        <c:dLbls>
          <c:showLegendKey val="0"/>
          <c:showVal val="0"/>
          <c:showCatName val="0"/>
          <c:showSerName val="0"/>
          <c:showPercent val="0"/>
          <c:showBubbleSize val="0"/>
        </c:dLbls>
        <c:marker val="1"/>
        <c:smooth val="0"/>
        <c:axId val="407748224"/>
        <c:axId val="560773056"/>
      </c:lineChart>
      <c:catAx>
        <c:axId val="40774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60773056"/>
        <c:crosses val="autoZero"/>
        <c:auto val="1"/>
        <c:lblAlgn val="ctr"/>
        <c:lblOffset val="100"/>
        <c:noMultiLvlLbl val="0"/>
      </c:catAx>
      <c:valAx>
        <c:axId val="56077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774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dvOKsKFpN1K/TqEeFr6qsCITQ==">CgMxLjAyCGguZ2pkZ3hzMg5oLmNuNzM3cXlxdDZwdTgAciExUG5QWkRJZWxsYm5zWUdZQ1JlSTBvLVdyaFp1dXpiZWw=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B12B44-8340-4B75-B50A-074FEC0C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985</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Gildenir Carolino Santos</dc:creator>
  <cp:lastModifiedBy>Luiza V. Mazieri</cp:lastModifiedBy>
  <cp:revision>3</cp:revision>
  <dcterms:created xsi:type="dcterms:W3CDTF">2023-11-21T13:54:00Z</dcterms:created>
  <dcterms:modified xsi:type="dcterms:W3CDTF">2023-11-23T16:58:00Z</dcterms:modified>
</cp:coreProperties>
</file>